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C25D0" w14:textId="01F2750B" w:rsidR="00CD5519" w:rsidRPr="004F041B" w:rsidRDefault="00CD5519" w:rsidP="00CD5519">
      <w:pPr>
        <w:shd w:val="clear" w:color="auto" w:fill="2F5496" w:themeFill="accent1" w:themeFillShade="BF"/>
        <w:spacing w:after="0" w:line="245" w:lineRule="auto"/>
        <w:ind w:left="-426"/>
        <w:rPr>
          <w:rFonts w:ascii="Barlow" w:hAnsi="Barlow"/>
          <w:sz w:val="28"/>
          <w:szCs w:val="28"/>
        </w:rPr>
      </w:pPr>
      <w:r w:rsidRPr="004F041B">
        <w:rPr>
          <w:rFonts w:ascii="Barlow" w:eastAsia="Verdana" w:hAnsi="Barlow" w:cs="Verdana"/>
          <w:b/>
          <w:bCs/>
          <w:color w:val="FFFFFF" w:themeColor="background1"/>
          <w:sz w:val="28"/>
          <w:szCs w:val="28"/>
        </w:rPr>
        <w:t xml:space="preserve">SERVIZI FINANZIARI </w:t>
      </w:r>
    </w:p>
    <w:tbl>
      <w:tblPr>
        <w:tblStyle w:val="Tabellagriglia1chiara-colore6"/>
        <w:tblW w:w="14743" w:type="dxa"/>
        <w:tblInd w:w="-431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3827"/>
        <w:gridCol w:w="2835"/>
        <w:gridCol w:w="1276"/>
        <w:gridCol w:w="425"/>
      </w:tblGrid>
      <w:tr w:rsidR="00CD5519" w:rsidRPr="004F041B" w14:paraId="76BD8E58" w14:textId="77777777" w:rsidTr="000B1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3" w:type="dxa"/>
            <w:gridSpan w:val="5"/>
            <w:tcBorders>
              <w:bottom w:val="single" w:sz="4" w:space="0" w:color="2F5496" w:themeColor="accent1" w:themeShade="BF"/>
            </w:tcBorders>
          </w:tcPr>
          <w:p w14:paraId="236346C0" w14:textId="4D80DF6B" w:rsidR="00CD5519" w:rsidRPr="004F041B" w:rsidRDefault="00CD5519" w:rsidP="009A2810">
            <w:pPr>
              <w:spacing w:before="120" w:after="120" w:line="245" w:lineRule="auto"/>
              <w:rPr>
                <w:rFonts w:ascii="Barlow" w:hAnsi="Barlow"/>
              </w:rPr>
            </w:pPr>
            <w:r w:rsidRPr="004F041B">
              <w:rPr>
                <w:rFonts w:ascii="Barlow" w:eastAsia="Tw Cen MT" w:hAnsi="Barlow" w:cs="Tw Cen MT"/>
              </w:rPr>
              <w:t xml:space="preserve">Descrizione della funzione </w:t>
            </w:r>
          </w:p>
          <w:p w14:paraId="70407C48" w14:textId="19675306" w:rsidR="00CD5519" w:rsidRPr="004F041B" w:rsidRDefault="00CD5519" w:rsidP="00730F68">
            <w:pPr>
              <w:spacing w:before="120" w:after="120" w:line="245" w:lineRule="auto"/>
              <w:rPr>
                <w:rFonts w:ascii="Barlow" w:hAnsi="Barlow"/>
              </w:rPr>
            </w:pPr>
            <w:r w:rsidRPr="004F041B">
              <w:rPr>
                <w:rFonts w:ascii="Barlow" w:eastAsia="Tw Cen MT" w:hAnsi="Barlow" w:cs="Tw Cen MT"/>
              </w:rPr>
              <w:t>La gestione associata in Unione deve comprendere il coordinamento e gestione dell’attività finanziaria dell’Unione e degli enti aderenti, l’attività e</w:t>
            </w:r>
            <w:r w:rsidR="000B0E7B" w:rsidRPr="004F041B">
              <w:rPr>
                <w:rFonts w:ascii="Barlow" w:eastAsia="Tw Cen MT" w:hAnsi="Barlow" w:cs="Tw Cen MT"/>
              </w:rPr>
              <w:t xml:space="preserve"> il</w:t>
            </w:r>
            <w:r w:rsidRPr="004F041B">
              <w:rPr>
                <w:rFonts w:ascii="Barlow" w:eastAsia="Tw Cen MT" w:hAnsi="Barlow" w:cs="Tw Cen MT"/>
              </w:rPr>
              <w:t xml:space="preserve"> presidio del servizio economato, registrazione uniforme delle entrate e spese nelle diverse fasi, programmazione, gestione e rendicontazione economico finanziaria.</w:t>
            </w:r>
          </w:p>
          <w:p w14:paraId="74ECC2A6" w14:textId="77777777" w:rsidR="00CD5519" w:rsidRPr="00730F68" w:rsidRDefault="00CD5519" w:rsidP="009A2810">
            <w:pPr>
              <w:rPr>
                <w:rFonts w:ascii="Barlow" w:eastAsia="Tw Cen MT" w:hAnsi="Barlow" w:cs="Tw Cen MT"/>
                <w:b w:val="0"/>
                <w:bCs w:val="0"/>
              </w:rPr>
            </w:pPr>
            <w:r w:rsidRPr="00730F68">
              <w:rPr>
                <w:rFonts w:ascii="Barlow" w:eastAsia="Tw Cen MT" w:hAnsi="Barlow" w:cs="Tw Cen MT"/>
                <w:b w:val="0"/>
                <w:bCs w:val="0"/>
              </w:rPr>
              <w:t>Il conferimento all’Unione da parte dei Comuni deve riguardare le seguenti attività:</w:t>
            </w:r>
          </w:p>
          <w:p w14:paraId="3D34FC49" w14:textId="77777777" w:rsidR="007D2601" w:rsidRPr="004F041B" w:rsidRDefault="007D2601" w:rsidP="009A2810">
            <w:pPr>
              <w:rPr>
                <w:rFonts w:ascii="Barlow" w:hAnsi="Barlow"/>
              </w:rPr>
            </w:pPr>
          </w:p>
          <w:p w14:paraId="39F45B1B" w14:textId="265F5240" w:rsidR="00CD5519" w:rsidRPr="004F041B" w:rsidRDefault="00CD5519" w:rsidP="4CC01930">
            <w:pPr>
              <w:pStyle w:val="Paragrafoelenco"/>
              <w:numPr>
                <w:ilvl w:val="0"/>
                <w:numId w:val="2"/>
              </w:numPr>
              <w:suppressAutoHyphens/>
              <w:autoSpaceDN w:val="0"/>
              <w:spacing w:line="244" w:lineRule="auto"/>
              <w:textAlignment w:val="baseline"/>
              <w:rPr>
                <w:rFonts w:ascii="Barlow" w:eastAsia="Tw Cen MT" w:hAnsi="Barlow" w:cs="Tw Cen MT"/>
                <w:b w:val="0"/>
                <w:bCs w:val="0"/>
                <w:color w:val="000000" w:themeColor="text1"/>
                <w:sz w:val="22"/>
              </w:rPr>
            </w:pPr>
            <w:r w:rsidRPr="004F041B">
              <w:rPr>
                <w:rFonts w:ascii="Barlow" w:eastAsia="Tw Cen MT" w:hAnsi="Barlow" w:cs="Tw Cen MT"/>
                <w:b w:val="0"/>
                <w:bCs w:val="0"/>
                <w:color w:val="000000" w:themeColor="text1"/>
                <w:sz w:val="22"/>
              </w:rPr>
              <w:t>Fiscale: individuazione di una specifica unità operativa a cui fanno capo gli adempimenti fiscali (Iva, Irap,)</w:t>
            </w:r>
          </w:p>
          <w:p w14:paraId="6E57FDF0" w14:textId="745C27FB" w:rsidR="00CD5519" w:rsidRPr="004F041B" w:rsidRDefault="00CD5519" w:rsidP="00CD5519">
            <w:pPr>
              <w:pStyle w:val="Paragrafoelenco"/>
              <w:numPr>
                <w:ilvl w:val="0"/>
                <w:numId w:val="2"/>
              </w:numPr>
              <w:suppressAutoHyphens/>
              <w:autoSpaceDN w:val="0"/>
              <w:spacing w:line="244" w:lineRule="auto"/>
              <w:contextualSpacing w:val="0"/>
              <w:textAlignment w:val="baseline"/>
              <w:rPr>
                <w:rFonts w:ascii="Barlow" w:hAnsi="Barlow"/>
                <w:color w:val="000000" w:themeColor="text1"/>
                <w:sz w:val="22"/>
              </w:rPr>
            </w:pPr>
            <w:r w:rsidRPr="004F041B">
              <w:rPr>
                <w:rFonts w:ascii="Barlow" w:eastAsia="Tw Cen MT" w:hAnsi="Barlow" w:cs="Tw Cen MT"/>
                <w:b w:val="0"/>
                <w:bCs w:val="0"/>
                <w:color w:val="000000" w:themeColor="text1"/>
                <w:sz w:val="22"/>
              </w:rPr>
              <w:t>Gestione corrente Bilancio e contabilità: gestione corrente (impegni/accertamenti) – gestione coordinamento investimenti/indebitamento– monitoraggio equilibri di bilancio –</w:t>
            </w:r>
            <w:r w:rsidR="000273EA" w:rsidRPr="004F041B">
              <w:rPr>
                <w:rFonts w:ascii="Barlow" w:eastAsia="Tw Cen MT" w:hAnsi="Barlow" w:cs="Tw Cen MT"/>
                <w:b w:val="0"/>
                <w:bCs w:val="0"/>
                <w:color w:val="000000" w:themeColor="text1"/>
                <w:sz w:val="22"/>
              </w:rPr>
              <w:t xml:space="preserve"> gestione accentrata/coordin</w:t>
            </w:r>
            <w:r w:rsidR="00455A9E" w:rsidRPr="004F041B">
              <w:rPr>
                <w:rFonts w:ascii="Barlow" w:eastAsia="Tw Cen MT" w:hAnsi="Barlow" w:cs="Tw Cen MT"/>
                <w:b w:val="0"/>
                <w:bCs w:val="0"/>
                <w:color w:val="000000" w:themeColor="text1"/>
                <w:sz w:val="22"/>
              </w:rPr>
              <w:t>amento</w:t>
            </w:r>
            <w:r w:rsidR="00097166" w:rsidRPr="004F041B">
              <w:rPr>
                <w:rFonts w:ascii="Barlow" w:eastAsia="Tw Cen MT" w:hAnsi="Barlow" w:cs="Tw Cen MT"/>
                <w:b w:val="0"/>
                <w:bCs w:val="0"/>
                <w:color w:val="000000" w:themeColor="text1"/>
                <w:sz w:val="22"/>
              </w:rPr>
              <w:t xml:space="preserve"> de</w:t>
            </w:r>
            <w:r w:rsidR="006B29E1" w:rsidRPr="004F041B">
              <w:rPr>
                <w:rFonts w:ascii="Barlow" w:eastAsia="Tw Cen MT" w:hAnsi="Barlow" w:cs="Tw Cen MT"/>
                <w:b w:val="0"/>
                <w:bCs w:val="0"/>
                <w:color w:val="000000" w:themeColor="text1"/>
                <w:sz w:val="22"/>
              </w:rPr>
              <w:t>gli adempimenti legati alla</w:t>
            </w:r>
            <w:r w:rsidRPr="004F041B">
              <w:rPr>
                <w:rFonts w:ascii="Barlow" w:eastAsia="Tw Cen MT" w:hAnsi="Barlow" w:cs="Tw Cen MT"/>
                <w:b w:val="0"/>
                <w:bCs w:val="0"/>
                <w:color w:val="000000" w:themeColor="text1"/>
                <w:sz w:val="22"/>
              </w:rPr>
              <w:t xml:space="preserve"> contabilità economico-patrimoniale </w:t>
            </w:r>
            <w:r w:rsidR="006B29E1" w:rsidRPr="004F041B">
              <w:rPr>
                <w:rFonts w:ascii="Barlow" w:eastAsia="Tw Cen MT" w:hAnsi="Barlow" w:cs="Tw Cen MT"/>
                <w:b w:val="0"/>
                <w:bCs w:val="0"/>
                <w:color w:val="000000" w:themeColor="text1"/>
                <w:sz w:val="22"/>
              </w:rPr>
              <w:t>e</w:t>
            </w:r>
            <w:r w:rsidRPr="004F041B">
              <w:rPr>
                <w:rFonts w:ascii="Barlow" w:eastAsia="Tw Cen MT" w:hAnsi="Barlow" w:cs="Tw Cen MT"/>
                <w:b w:val="0"/>
                <w:bCs w:val="0"/>
                <w:color w:val="000000" w:themeColor="text1"/>
                <w:sz w:val="22"/>
              </w:rPr>
              <w:t xml:space="preserve"> bilancio consolidato </w:t>
            </w:r>
          </w:p>
          <w:p w14:paraId="40B5C5F1" w14:textId="77777777" w:rsidR="00CD5519" w:rsidRPr="004F041B" w:rsidRDefault="00CD5519" w:rsidP="00CD5519">
            <w:pPr>
              <w:pStyle w:val="Paragrafoelenco"/>
              <w:numPr>
                <w:ilvl w:val="0"/>
                <w:numId w:val="2"/>
              </w:numPr>
              <w:suppressAutoHyphens/>
              <w:autoSpaceDN w:val="0"/>
              <w:spacing w:line="244" w:lineRule="auto"/>
              <w:contextualSpacing w:val="0"/>
              <w:textAlignment w:val="baseline"/>
              <w:rPr>
                <w:rFonts w:ascii="Barlow" w:hAnsi="Barlow"/>
                <w:color w:val="000000" w:themeColor="text1"/>
                <w:sz w:val="22"/>
              </w:rPr>
            </w:pPr>
            <w:r w:rsidRPr="004F041B">
              <w:rPr>
                <w:rFonts w:ascii="Barlow" w:eastAsia="Tw Cen MT" w:hAnsi="Barlow" w:cs="Tw Cen MT"/>
                <w:b w:val="0"/>
                <w:bCs w:val="0"/>
                <w:color w:val="000000" w:themeColor="text1"/>
                <w:sz w:val="22"/>
              </w:rPr>
              <w:t>Gestione fatture: unico sistema di ricezione fatture dallo SDI, definizione regole comuni sulle modalità di registrazione in contabilità e di assegnazione agli uffici</w:t>
            </w:r>
          </w:p>
          <w:p w14:paraId="23C6F9C3" w14:textId="20EC1452" w:rsidR="00CD5519" w:rsidRPr="004F041B" w:rsidRDefault="00CD5519" w:rsidP="009A2810">
            <w:pPr>
              <w:rPr>
                <w:rFonts w:ascii="Barlow" w:hAnsi="Barlow"/>
              </w:rPr>
            </w:pPr>
          </w:p>
          <w:p w14:paraId="2368637E" w14:textId="670467D2" w:rsidR="004F041B" w:rsidRPr="004F041B" w:rsidRDefault="00CD5519" w:rsidP="009A2810">
            <w:pPr>
              <w:rPr>
                <w:rFonts w:ascii="Barlow" w:hAnsi="Barlow"/>
                <w:b w:val="0"/>
                <w:bCs w:val="0"/>
              </w:rPr>
            </w:pPr>
            <w:r w:rsidRPr="004F041B">
              <w:rPr>
                <w:rFonts w:ascii="Barlow" w:eastAsia="Tw Cen MT" w:hAnsi="Barlow" w:cs="Tw Cen MT"/>
                <w:b w:val="0"/>
                <w:bCs w:val="0"/>
                <w:color w:val="000000" w:themeColor="text1"/>
              </w:rPr>
              <w:t xml:space="preserve">v. schema tipo convenzione link </w:t>
            </w:r>
            <w:hyperlink r:id="rId10" w:history="1">
              <w:r w:rsidR="008D5333" w:rsidRPr="008D5333">
                <w:rPr>
                  <w:rStyle w:val="Collegamentoipertestuale"/>
                  <w:b w:val="0"/>
                  <w:bCs w:val="0"/>
                </w:rPr>
                <w:t>https://autonomie.regione.emilia-romagna.it/unioni-di-comuni/programma-di-riordino-territoriale/prt-2024-2026</w:t>
              </w:r>
            </w:hyperlink>
            <w:r w:rsidR="008D5333">
              <w:t xml:space="preserve"> </w:t>
            </w:r>
          </w:p>
        </w:tc>
      </w:tr>
      <w:tr w:rsidR="004F041B" w:rsidRPr="004F041B" w14:paraId="039D4158" w14:textId="77777777" w:rsidTr="000B1E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vAlign w:val="center"/>
          </w:tcPr>
          <w:p w14:paraId="610AC14D" w14:textId="77777777" w:rsidR="004F041B" w:rsidRPr="004F041B" w:rsidRDefault="004F041B" w:rsidP="009A2810">
            <w:pPr>
              <w:spacing w:line="245" w:lineRule="auto"/>
              <w:ind w:left="29"/>
              <w:rPr>
                <w:rFonts w:ascii="Barlow" w:hAnsi="Barlow" w:cs="Times New Roman"/>
                <w:color w:val="2F5496" w:themeColor="accent1" w:themeShade="BF"/>
              </w:rPr>
            </w:pPr>
            <w:r w:rsidRPr="004F041B">
              <w:rPr>
                <w:rFonts w:ascii="Barlow" w:hAnsi="Barlow" w:cs="Times New Roman"/>
                <w:color w:val="2F5496" w:themeColor="accent1" w:themeShade="BF"/>
              </w:rPr>
              <w:t>Azioni obbligatorie per accedere all’incentivo (livello base)</w:t>
            </w:r>
          </w:p>
        </w:tc>
        <w:tc>
          <w:tcPr>
            <w:tcW w:w="3827" w:type="dxa"/>
            <w:vAlign w:val="center"/>
          </w:tcPr>
          <w:p w14:paraId="74A68036" w14:textId="77777777" w:rsidR="004F041B" w:rsidRPr="004F041B" w:rsidRDefault="004F041B" w:rsidP="009A2810">
            <w:pPr>
              <w:spacing w:line="245" w:lineRule="auto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b/>
                <w:bCs/>
                <w:color w:val="2F5496" w:themeColor="accent1" w:themeShade="BF"/>
              </w:rPr>
            </w:pPr>
            <w:r w:rsidRPr="004F041B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>Strumento di verifica di effettività</w:t>
            </w:r>
          </w:p>
        </w:tc>
        <w:tc>
          <w:tcPr>
            <w:tcW w:w="2835" w:type="dxa"/>
            <w:vAlign w:val="center"/>
          </w:tcPr>
          <w:p w14:paraId="32917E45" w14:textId="5AACCD92" w:rsidR="004F041B" w:rsidRPr="004F041B" w:rsidRDefault="004F041B" w:rsidP="009A2810">
            <w:pPr>
              <w:spacing w:line="245" w:lineRule="auto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b/>
                <w:bCs/>
                <w:color w:val="2F5496" w:themeColor="accent1" w:themeShade="BF"/>
              </w:rPr>
            </w:pPr>
            <w:r w:rsidRPr="004F041B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 xml:space="preserve">Indicazione estremi </w:t>
            </w:r>
            <w:r w:rsidR="00730F68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 xml:space="preserve">e </w:t>
            </w:r>
            <w:r w:rsidRPr="004F041B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>link dell’atto</w:t>
            </w:r>
          </w:p>
        </w:tc>
        <w:tc>
          <w:tcPr>
            <w:tcW w:w="1701" w:type="dxa"/>
            <w:gridSpan w:val="2"/>
            <w:vAlign w:val="center"/>
          </w:tcPr>
          <w:p w14:paraId="03237DC9" w14:textId="12D11C75" w:rsidR="004F041B" w:rsidRPr="004F041B" w:rsidRDefault="004F041B" w:rsidP="009A2810">
            <w:pPr>
              <w:spacing w:line="245" w:lineRule="auto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color w:val="2F5496" w:themeColor="accent1" w:themeShade="BF"/>
              </w:rPr>
            </w:pPr>
            <w:r w:rsidRPr="004F041B">
              <w:rPr>
                <w:rFonts w:ascii="Barlow" w:hAnsi="Barlow" w:cs="Times New Roman"/>
                <w:color w:val="2F5496" w:themeColor="accent1" w:themeShade="BF"/>
              </w:rPr>
              <w:t>Contributo in % punteggio</w:t>
            </w:r>
          </w:p>
        </w:tc>
      </w:tr>
      <w:tr w:rsidR="00CD5519" w:rsidRPr="004F041B" w14:paraId="04A420FC" w14:textId="77777777" w:rsidTr="000B1EBC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vAlign w:val="center"/>
          </w:tcPr>
          <w:p w14:paraId="42E07EB9" w14:textId="1018EB59" w:rsidR="00CD5519" w:rsidRPr="004F041B" w:rsidRDefault="00CD5519" w:rsidP="009A2810">
            <w:pPr>
              <w:spacing w:line="240" w:lineRule="atLeast"/>
              <w:rPr>
                <w:rFonts w:ascii="Barlow" w:hAnsi="Barlow" w:cs="Times New Roman"/>
              </w:rPr>
            </w:pPr>
            <w:r w:rsidRPr="004F041B">
              <w:rPr>
                <w:rFonts w:ascii="Barlow" w:hAnsi="Barlow" w:cs="Times New Roman"/>
                <w:b w:val="0"/>
              </w:rPr>
              <w:t xml:space="preserve">Conferimento della funzione e attivazione delle attività </w:t>
            </w:r>
            <w:r w:rsidR="002578F1" w:rsidRPr="004F041B">
              <w:rPr>
                <w:rFonts w:ascii="Barlow" w:hAnsi="Barlow" w:cs="Times New Roman"/>
                <w:b w:val="0"/>
              </w:rPr>
              <w:t xml:space="preserve">sopra </w:t>
            </w:r>
            <w:r w:rsidRPr="004F041B">
              <w:rPr>
                <w:rFonts w:ascii="Barlow" w:hAnsi="Barlow" w:cs="Times New Roman"/>
                <w:b w:val="0"/>
              </w:rPr>
              <w:t>indicate</w:t>
            </w:r>
          </w:p>
        </w:tc>
        <w:tc>
          <w:tcPr>
            <w:tcW w:w="3827" w:type="dxa"/>
            <w:vAlign w:val="center"/>
          </w:tcPr>
          <w:p w14:paraId="396A610E" w14:textId="77777777" w:rsidR="00CD5519" w:rsidRPr="004F041B" w:rsidRDefault="00CD5519" w:rsidP="009A281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  <w:r w:rsidRPr="004F041B">
              <w:rPr>
                <w:rFonts w:ascii="Barlow" w:hAnsi="Barlow" w:cs="Times New Roman"/>
              </w:rPr>
              <w:t>Convenzione</w:t>
            </w:r>
          </w:p>
        </w:tc>
        <w:tc>
          <w:tcPr>
            <w:tcW w:w="2835" w:type="dxa"/>
            <w:vAlign w:val="center"/>
          </w:tcPr>
          <w:p w14:paraId="411A292F" w14:textId="77777777" w:rsidR="00CD5519" w:rsidRPr="004F041B" w:rsidRDefault="00CD5519" w:rsidP="009A2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3AAB469" w14:textId="77777777" w:rsidR="00CD5519" w:rsidRPr="004F041B" w:rsidRDefault="00CD5519" w:rsidP="009A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b/>
              </w:rPr>
            </w:pPr>
            <w:r w:rsidRPr="004F041B">
              <w:rPr>
                <w:rFonts w:ascii="Barlow" w:hAnsi="Barlow" w:cs="Times New Roman"/>
              </w:rPr>
              <w:t>50%</w:t>
            </w:r>
          </w:p>
        </w:tc>
        <w:tc>
          <w:tcPr>
            <w:tcW w:w="425" w:type="dxa"/>
            <w:vMerge w:val="restart"/>
            <w:vAlign w:val="center"/>
          </w:tcPr>
          <w:sdt>
            <w:sdtPr>
              <w:rPr>
                <w:rFonts w:ascii="Barlow" w:hAnsi="Barlow" w:cs="Times New Roman"/>
                <w:color w:val="2F5496" w:themeColor="accent1" w:themeShade="BF"/>
                <w:shd w:val="clear" w:color="auto" w:fill="E6E6E6"/>
              </w:rPr>
              <w:id w:val="-1076510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D7ECCB" w14:textId="77777777" w:rsidR="00CD5519" w:rsidRPr="004F041B" w:rsidRDefault="00CD5519" w:rsidP="009A281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rlow" w:hAnsi="Barlow" w:cs="Times New Roman"/>
                    <w:color w:val="2F5496" w:themeColor="accent1" w:themeShade="BF"/>
                  </w:rPr>
                </w:pPr>
                <w:r w:rsidRPr="004F041B">
                  <w:rPr>
                    <w:rFonts w:ascii="Segoe UI Symbol" w:eastAsia="MS Gothic" w:hAnsi="Segoe UI Symbol" w:cs="Segoe UI Symbol"/>
                    <w:color w:val="2F5496" w:themeColor="accent1" w:themeShade="BF"/>
                  </w:rPr>
                  <w:t>☐</w:t>
                </w:r>
              </w:p>
            </w:sdtContent>
          </w:sdt>
        </w:tc>
      </w:tr>
      <w:tr w:rsidR="00CD5519" w:rsidRPr="004F041B" w14:paraId="2F05909D" w14:textId="77777777" w:rsidTr="000B1EBC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vAlign w:val="center"/>
          </w:tcPr>
          <w:p w14:paraId="279212FA" w14:textId="77777777" w:rsidR="00CD5519" w:rsidRPr="004F041B" w:rsidRDefault="00CD5519" w:rsidP="009A2810">
            <w:pPr>
              <w:spacing w:line="240" w:lineRule="atLeast"/>
              <w:rPr>
                <w:rFonts w:ascii="Barlow" w:hAnsi="Barlow" w:cs="Times New Roman"/>
              </w:rPr>
            </w:pPr>
            <w:r w:rsidRPr="004F041B">
              <w:rPr>
                <w:rFonts w:ascii="Barlow" w:hAnsi="Barlow" w:cs="Times New Roman"/>
                <w:b w:val="0"/>
              </w:rPr>
              <w:t>Istituzione della struttura organizzativa in Unione</w:t>
            </w:r>
          </w:p>
        </w:tc>
        <w:tc>
          <w:tcPr>
            <w:tcW w:w="3827" w:type="dxa"/>
            <w:vAlign w:val="center"/>
          </w:tcPr>
          <w:p w14:paraId="29EED9D6" w14:textId="05633293" w:rsidR="00CD5519" w:rsidRPr="004F041B" w:rsidRDefault="00CD5519" w:rsidP="009A281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  <w:r w:rsidRPr="004F041B">
              <w:rPr>
                <w:rFonts w:ascii="Barlow" w:hAnsi="Barlow" w:cs="Times New Roman"/>
              </w:rPr>
              <w:t>Organigramma</w:t>
            </w:r>
            <w:r w:rsidR="00633D59" w:rsidRPr="004F041B">
              <w:rPr>
                <w:rFonts w:ascii="Barlow" w:hAnsi="Barlow" w:cs="Times New Roman"/>
              </w:rPr>
              <w:t xml:space="preserve"> o atto simile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B27B87D" w14:textId="77777777" w:rsidR="00CD5519" w:rsidRPr="004F041B" w:rsidRDefault="00CD5519" w:rsidP="009A2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276" w:type="dxa"/>
            <w:vMerge/>
          </w:tcPr>
          <w:p w14:paraId="4DDD73C4" w14:textId="77777777" w:rsidR="00CD5519" w:rsidRPr="004F041B" w:rsidRDefault="00CD5519" w:rsidP="009A2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</w:p>
        </w:tc>
        <w:tc>
          <w:tcPr>
            <w:tcW w:w="425" w:type="dxa"/>
            <w:vMerge/>
          </w:tcPr>
          <w:p w14:paraId="43AF16AC" w14:textId="77777777" w:rsidR="00CD5519" w:rsidRPr="004F041B" w:rsidRDefault="00CD5519" w:rsidP="009A2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color w:val="2F5496" w:themeColor="accent1" w:themeShade="BF"/>
              </w:rPr>
            </w:pPr>
          </w:p>
        </w:tc>
      </w:tr>
      <w:tr w:rsidR="00CD5519" w:rsidRPr="004F041B" w14:paraId="3D4C9216" w14:textId="77777777" w:rsidTr="000B1EBC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vAlign w:val="center"/>
          </w:tcPr>
          <w:p w14:paraId="03899F7F" w14:textId="6F9FCDF5" w:rsidR="00CD5519" w:rsidRPr="004F041B" w:rsidRDefault="00CD5519" w:rsidP="009A2810">
            <w:pPr>
              <w:spacing w:line="240" w:lineRule="atLeast"/>
              <w:rPr>
                <w:rFonts w:ascii="Barlow" w:hAnsi="Barlow" w:cs="Times New Roman"/>
              </w:rPr>
            </w:pPr>
            <w:r w:rsidRPr="004F041B">
              <w:rPr>
                <w:rFonts w:ascii="Barlow" w:hAnsi="Barlow" w:cs="Times New Roman"/>
                <w:b w:val="0"/>
              </w:rPr>
              <w:t>Responsabile unità operativa</w:t>
            </w:r>
            <w:r w:rsidR="00633D59" w:rsidRPr="004F041B">
              <w:rPr>
                <w:rFonts w:ascii="Barlow" w:hAnsi="Barlow" w:cs="Times New Roman"/>
                <w:b w:val="0"/>
              </w:rPr>
              <w:t xml:space="preserve"> </w:t>
            </w:r>
            <w:r w:rsidR="004E1091" w:rsidRPr="004F041B">
              <w:rPr>
                <w:rFonts w:ascii="Barlow" w:hAnsi="Barlow" w:cs="Times New Roman"/>
                <w:b w:val="0"/>
              </w:rPr>
              <w:t xml:space="preserve">o del coordinamento </w:t>
            </w:r>
            <w:r w:rsidRPr="004F041B">
              <w:rPr>
                <w:rFonts w:ascii="Barlow" w:hAnsi="Barlow" w:cs="Times New Roman"/>
                <w:b w:val="0"/>
              </w:rPr>
              <w:t>degli adempimenti fiscali (1)</w:t>
            </w:r>
            <w:r w:rsidR="004E4308" w:rsidRPr="004F041B">
              <w:rPr>
                <w:rFonts w:ascii="Barlow" w:hAnsi="Barlow" w:cs="Times New Roman"/>
                <w:b w:val="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51B8710D" w14:textId="5658799B" w:rsidR="00CD5519" w:rsidRPr="004F041B" w:rsidRDefault="00CD5519" w:rsidP="009A281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  <w:r w:rsidRPr="004F041B">
              <w:rPr>
                <w:rFonts w:ascii="Barlow" w:hAnsi="Barlow" w:cs="Times New Roman"/>
              </w:rPr>
              <w:t>Atto nomina</w:t>
            </w:r>
            <w:r w:rsidR="002B1C4F">
              <w:rPr>
                <w:rFonts w:ascii="Barlow" w:hAnsi="Barlow" w:cs="Times New Roman"/>
              </w:rPr>
              <w:t xml:space="preserve"> </w:t>
            </w:r>
            <w:r w:rsidRPr="004F041B">
              <w:rPr>
                <w:rFonts w:ascii="Barlow" w:hAnsi="Barlow" w:cs="Times New Roman"/>
              </w:rPr>
              <w:t>(può essere lo stesso)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BD5D61E" w14:textId="77777777" w:rsidR="00CD5519" w:rsidRPr="004F041B" w:rsidRDefault="00CD5519" w:rsidP="009A2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276" w:type="dxa"/>
            <w:vMerge/>
          </w:tcPr>
          <w:p w14:paraId="458400EF" w14:textId="77777777" w:rsidR="00CD5519" w:rsidRPr="004F041B" w:rsidRDefault="00CD5519" w:rsidP="009A2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</w:p>
        </w:tc>
        <w:tc>
          <w:tcPr>
            <w:tcW w:w="425" w:type="dxa"/>
            <w:vMerge/>
          </w:tcPr>
          <w:p w14:paraId="7424A7F7" w14:textId="77777777" w:rsidR="00CD5519" w:rsidRPr="004F041B" w:rsidRDefault="00CD5519" w:rsidP="009A2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color w:val="2F5496" w:themeColor="accent1" w:themeShade="BF"/>
              </w:rPr>
            </w:pPr>
          </w:p>
        </w:tc>
      </w:tr>
      <w:tr w:rsidR="00CD5519" w:rsidRPr="004F041B" w14:paraId="317B41D3" w14:textId="77777777" w:rsidTr="000B1EB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vAlign w:val="center"/>
          </w:tcPr>
          <w:p w14:paraId="3D8D2A70" w14:textId="2F6DB967" w:rsidR="00CD5519" w:rsidRPr="004F041B" w:rsidRDefault="00CD5519" w:rsidP="009A2810">
            <w:pPr>
              <w:spacing w:line="240" w:lineRule="atLeast"/>
              <w:rPr>
                <w:rFonts w:ascii="Barlow" w:hAnsi="Barlow" w:cs="Times New Roman"/>
              </w:rPr>
            </w:pPr>
            <w:r w:rsidRPr="004F041B">
              <w:rPr>
                <w:rFonts w:ascii="Barlow" w:hAnsi="Barlow" w:cs="Times New Roman"/>
                <w:b w:val="0"/>
              </w:rPr>
              <w:t xml:space="preserve">Responsabile unità </w:t>
            </w:r>
            <w:r w:rsidR="009C609F" w:rsidRPr="004F041B">
              <w:rPr>
                <w:rFonts w:ascii="Barlow" w:hAnsi="Barlow" w:cs="Times New Roman"/>
                <w:b w:val="0"/>
              </w:rPr>
              <w:t>operativa gestione</w:t>
            </w:r>
            <w:r w:rsidRPr="004F041B">
              <w:rPr>
                <w:rFonts w:ascii="Barlow" w:hAnsi="Barlow" w:cs="Times New Roman"/>
                <w:b w:val="0"/>
              </w:rPr>
              <w:t xml:space="preserve"> corrente e investimenti (2)</w:t>
            </w:r>
          </w:p>
        </w:tc>
        <w:tc>
          <w:tcPr>
            <w:tcW w:w="3827" w:type="dxa"/>
            <w:vAlign w:val="center"/>
          </w:tcPr>
          <w:p w14:paraId="6BA1D95C" w14:textId="13D70196" w:rsidR="00CD5519" w:rsidRPr="004F041B" w:rsidRDefault="00CD5519" w:rsidP="009A281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  <w:r w:rsidRPr="004F041B">
              <w:rPr>
                <w:rFonts w:ascii="Barlow" w:hAnsi="Barlow" w:cs="Times New Roman"/>
              </w:rPr>
              <w:t>Atto nomina</w:t>
            </w:r>
            <w:r w:rsidR="002B1C4F">
              <w:rPr>
                <w:rFonts w:ascii="Barlow" w:hAnsi="Barlow" w:cs="Times New Roman"/>
              </w:rPr>
              <w:t xml:space="preserve"> </w:t>
            </w:r>
            <w:r w:rsidRPr="004F041B">
              <w:rPr>
                <w:rFonts w:ascii="Barlow" w:hAnsi="Barlow" w:cs="Times New Roman"/>
              </w:rPr>
              <w:t>(può essere lo stesso)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B1C93FC" w14:textId="77777777" w:rsidR="00CD5519" w:rsidRPr="004F041B" w:rsidRDefault="00CD5519" w:rsidP="009A2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276" w:type="dxa"/>
            <w:vMerge/>
          </w:tcPr>
          <w:p w14:paraId="5266043C" w14:textId="77777777" w:rsidR="00CD5519" w:rsidRPr="004F041B" w:rsidRDefault="00CD5519" w:rsidP="009A2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</w:p>
        </w:tc>
        <w:tc>
          <w:tcPr>
            <w:tcW w:w="425" w:type="dxa"/>
            <w:vMerge/>
          </w:tcPr>
          <w:p w14:paraId="2EBD5BE6" w14:textId="77777777" w:rsidR="00CD5519" w:rsidRPr="004F041B" w:rsidRDefault="00CD5519" w:rsidP="009A2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color w:val="2F5496" w:themeColor="accent1" w:themeShade="BF"/>
              </w:rPr>
            </w:pPr>
          </w:p>
        </w:tc>
      </w:tr>
      <w:tr w:rsidR="00CD5519" w:rsidRPr="004F041B" w14:paraId="26984318" w14:textId="77777777" w:rsidTr="000B1EB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vAlign w:val="center"/>
          </w:tcPr>
          <w:p w14:paraId="60990920" w14:textId="3A33C678" w:rsidR="00CD5519" w:rsidRPr="004F041B" w:rsidRDefault="00EE41B4" w:rsidP="009A2810">
            <w:pPr>
              <w:spacing w:line="240" w:lineRule="atLeast"/>
              <w:rPr>
                <w:rFonts w:ascii="Barlow" w:hAnsi="Barlow" w:cs="Times New Roman"/>
              </w:rPr>
            </w:pPr>
            <w:r w:rsidRPr="004F041B">
              <w:rPr>
                <w:rFonts w:ascii="Barlow" w:hAnsi="Barlow" w:cs="Times New Roman"/>
                <w:b w:val="0"/>
              </w:rPr>
              <w:t xml:space="preserve">Responsabile unità operativa o del coordinamento degli adempimenti </w:t>
            </w:r>
            <w:r w:rsidR="00CD5519" w:rsidRPr="004F041B">
              <w:rPr>
                <w:rFonts w:ascii="Barlow" w:hAnsi="Barlow" w:cs="Times New Roman"/>
                <w:b w:val="0"/>
              </w:rPr>
              <w:t>della contabilità economica-patrimoniale</w:t>
            </w:r>
            <w:r w:rsidRPr="004F041B">
              <w:rPr>
                <w:rFonts w:ascii="Barlow" w:hAnsi="Barlow" w:cs="Times New Roman"/>
                <w:b w:val="0"/>
              </w:rPr>
              <w:t xml:space="preserve"> e</w:t>
            </w:r>
            <w:r w:rsidR="00CD5519" w:rsidRPr="004F041B">
              <w:rPr>
                <w:rFonts w:ascii="Barlow" w:hAnsi="Barlow" w:cs="Times New Roman"/>
                <w:b w:val="0"/>
              </w:rPr>
              <w:t xml:space="preserve"> consolidato (2)</w:t>
            </w:r>
            <w:r w:rsidR="004E4308" w:rsidRPr="004F041B">
              <w:rPr>
                <w:rFonts w:ascii="Barlow" w:hAnsi="Barlow" w:cs="Times New Roman"/>
                <w:b w:val="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6A0009C8" w14:textId="3A648ABE" w:rsidR="00CD5519" w:rsidRPr="004F041B" w:rsidRDefault="00CD5519" w:rsidP="009A281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  <w:r w:rsidRPr="004F041B">
              <w:rPr>
                <w:rFonts w:ascii="Barlow" w:hAnsi="Barlow" w:cs="Times New Roman"/>
              </w:rPr>
              <w:t>Atto nomina (può essere lo stesso)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E8432D9" w14:textId="77777777" w:rsidR="00CD5519" w:rsidRPr="004F041B" w:rsidRDefault="00CD5519" w:rsidP="009A2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276" w:type="dxa"/>
            <w:vMerge/>
          </w:tcPr>
          <w:p w14:paraId="509F659B" w14:textId="77777777" w:rsidR="00CD5519" w:rsidRPr="004F041B" w:rsidRDefault="00CD5519" w:rsidP="009A2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</w:p>
        </w:tc>
        <w:tc>
          <w:tcPr>
            <w:tcW w:w="425" w:type="dxa"/>
            <w:vMerge/>
          </w:tcPr>
          <w:p w14:paraId="0E09BCAF" w14:textId="77777777" w:rsidR="00CD5519" w:rsidRPr="004F041B" w:rsidRDefault="00CD5519" w:rsidP="009A2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color w:val="2F5496" w:themeColor="accent1" w:themeShade="BF"/>
              </w:rPr>
            </w:pPr>
          </w:p>
        </w:tc>
      </w:tr>
      <w:tr w:rsidR="00CD5519" w:rsidRPr="004F041B" w14:paraId="0BA8BF37" w14:textId="77777777" w:rsidTr="000B1EB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vAlign w:val="center"/>
          </w:tcPr>
          <w:p w14:paraId="3A52A811" w14:textId="77777777" w:rsidR="00CD5519" w:rsidRPr="004F041B" w:rsidRDefault="00CD5519" w:rsidP="009A2810">
            <w:pPr>
              <w:rPr>
                <w:rFonts w:ascii="Barlow" w:hAnsi="Barlow" w:cs="Times New Roman"/>
              </w:rPr>
            </w:pPr>
            <w:r w:rsidRPr="004F041B">
              <w:rPr>
                <w:rFonts w:ascii="Barlow" w:hAnsi="Barlow" w:cs="Times New Roman"/>
                <w:b w:val="0"/>
              </w:rPr>
              <w:t>Conferimento del personale (con decorrenza entro l’anno se nuova funzione)</w:t>
            </w:r>
          </w:p>
        </w:tc>
        <w:tc>
          <w:tcPr>
            <w:tcW w:w="3827" w:type="dxa"/>
            <w:vAlign w:val="center"/>
          </w:tcPr>
          <w:p w14:paraId="10065E6F" w14:textId="77777777" w:rsidR="00CD5519" w:rsidRPr="004F041B" w:rsidRDefault="00CD5519" w:rsidP="009A2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  <w:r w:rsidRPr="004F041B">
              <w:rPr>
                <w:rFonts w:ascii="Barlow" w:hAnsi="Barlow" w:cs="Times New Roman"/>
              </w:rPr>
              <w:t>Atti organizzativi (personale trasferito/comandato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F617C06" w14:textId="77777777" w:rsidR="00CD5519" w:rsidRPr="004F041B" w:rsidRDefault="00CD5519" w:rsidP="009A2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276" w:type="dxa"/>
            <w:vMerge/>
          </w:tcPr>
          <w:p w14:paraId="39DFD8C2" w14:textId="77777777" w:rsidR="00CD5519" w:rsidRPr="004F041B" w:rsidRDefault="00CD5519" w:rsidP="009A2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</w:p>
        </w:tc>
        <w:tc>
          <w:tcPr>
            <w:tcW w:w="425" w:type="dxa"/>
            <w:vMerge/>
          </w:tcPr>
          <w:p w14:paraId="5B8B5780" w14:textId="77777777" w:rsidR="00CD5519" w:rsidRPr="004F041B" w:rsidRDefault="00CD5519" w:rsidP="009A2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color w:val="2F5496" w:themeColor="accent1" w:themeShade="BF"/>
              </w:rPr>
            </w:pPr>
          </w:p>
        </w:tc>
      </w:tr>
      <w:tr w:rsidR="00CD5519" w:rsidRPr="004F041B" w14:paraId="5E5BE533" w14:textId="77777777" w:rsidTr="000B1EB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vAlign w:val="center"/>
          </w:tcPr>
          <w:p w14:paraId="63BC622B" w14:textId="77777777" w:rsidR="00CD5519" w:rsidRPr="004F041B" w:rsidRDefault="00CD5519" w:rsidP="009A2810">
            <w:pPr>
              <w:rPr>
                <w:rFonts w:ascii="Barlow" w:hAnsi="Barlow" w:cs="Times New Roman"/>
              </w:rPr>
            </w:pPr>
            <w:r w:rsidRPr="004F041B">
              <w:rPr>
                <w:rFonts w:ascii="Barlow" w:hAnsi="Barlow" w:cs="Times New Roman"/>
                <w:b w:val="0"/>
              </w:rPr>
              <w:t>Conferimento stanziamenti entrate/spese dai bilanci dei Comuni all’Unione</w:t>
            </w:r>
          </w:p>
        </w:tc>
        <w:tc>
          <w:tcPr>
            <w:tcW w:w="3827" w:type="dxa"/>
            <w:vAlign w:val="center"/>
          </w:tcPr>
          <w:p w14:paraId="4D0EE682" w14:textId="77777777" w:rsidR="00CD5519" w:rsidRPr="004F041B" w:rsidRDefault="00CD5519" w:rsidP="009A2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  <w:r w:rsidRPr="004F041B">
              <w:rPr>
                <w:rFonts w:ascii="Barlow" w:hAnsi="Barlow" w:cs="Times New Roman"/>
              </w:rPr>
              <w:t>Entità degli stanziamenti conferiti nel Bilancio preventivo dell’Unione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FADEFBA" w14:textId="77777777" w:rsidR="00CD5519" w:rsidRPr="004F041B" w:rsidRDefault="00CD5519" w:rsidP="009A2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276" w:type="dxa"/>
            <w:vMerge/>
          </w:tcPr>
          <w:p w14:paraId="5ED29EFD" w14:textId="77777777" w:rsidR="00CD5519" w:rsidRPr="004F041B" w:rsidRDefault="00CD5519" w:rsidP="009A2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</w:p>
        </w:tc>
        <w:tc>
          <w:tcPr>
            <w:tcW w:w="425" w:type="dxa"/>
            <w:vMerge/>
          </w:tcPr>
          <w:p w14:paraId="512A49BE" w14:textId="77777777" w:rsidR="00CD5519" w:rsidRPr="004F041B" w:rsidRDefault="00CD5519" w:rsidP="009A2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color w:val="2F5496" w:themeColor="accent1" w:themeShade="BF"/>
              </w:rPr>
            </w:pPr>
          </w:p>
        </w:tc>
      </w:tr>
      <w:tr w:rsidR="00CD5519" w:rsidRPr="004F041B" w14:paraId="586D53C9" w14:textId="77777777" w:rsidTr="000B1EBC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vAlign w:val="center"/>
          </w:tcPr>
          <w:p w14:paraId="0674B3F1" w14:textId="77777777" w:rsidR="00CD5519" w:rsidRPr="004F041B" w:rsidRDefault="00CD5519" w:rsidP="009A2810">
            <w:pPr>
              <w:rPr>
                <w:rFonts w:ascii="Barlow" w:hAnsi="Barlow" w:cs="Times New Roman"/>
              </w:rPr>
            </w:pPr>
            <w:r w:rsidRPr="004F041B">
              <w:rPr>
                <w:rFonts w:ascii="Barlow" w:hAnsi="Barlow" w:cs="Times New Roman"/>
                <w:b w:val="0"/>
              </w:rPr>
              <w:lastRenderedPageBreak/>
              <w:t>Approvazione regolamento di contabilità uniforme (ammesse diversità su elementi non fondamentali)</w:t>
            </w:r>
          </w:p>
        </w:tc>
        <w:tc>
          <w:tcPr>
            <w:tcW w:w="3827" w:type="dxa"/>
            <w:vAlign w:val="center"/>
          </w:tcPr>
          <w:p w14:paraId="4627D2EE" w14:textId="77777777" w:rsidR="00CD5519" w:rsidRPr="004F041B" w:rsidRDefault="00CD5519" w:rsidP="009A2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  <w:r w:rsidRPr="004F041B">
              <w:rPr>
                <w:rFonts w:ascii="Barlow" w:hAnsi="Barlow" w:cs="Times New Roman"/>
              </w:rPr>
              <w:t xml:space="preserve">Atto amministrativo 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0D3DF03" w14:textId="77777777" w:rsidR="00CD5519" w:rsidRPr="004F041B" w:rsidRDefault="00CD5519" w:rsidP="009A2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276" w:type="dxa"/>
            <w:vMerge/>
          </w:tcPr>
          <w:p w14:paraId="5B1F34CE" w14:textId="77777777" w:rsidR="00CD5519" w:rsidRPr="004F041B" w:rsidRDefault="00CD5519" w:rsidP="009A2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</w:p>
        </w:tc>
        <w:tc>
          <w:tcPr>
            <w:tcW w:w="425" w:type="dxa"/>
            <w:vMerge/>
          </w:tcPr>
          <w:p w14:paraId="57399DF3" w14:textId="77777777" w:rsidR="00CD5519" w:rsidRPr="004F041B" w:rsidRDefault="00CD5519" w:rsidP="009A2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color w:val="2F5496" w:themeColor="accent1" w:themeShade="BF"/>
              </w:rPr>
            </w:pPr>
          </w:p>
        </w:tc>
      </w:tr>
      <w:tr w:rsidR="00CD5519" w:rsidRPr="004F041B" w14:paraId="54D3C838" w14:textId="77777777" w:rsidTr="000B1EB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vAlign w:val="center"/>
          </w:tcPr>
          <w:p w14:paraId="75341E0F" w14:textId="77777777" w:rsidR="00CD5519" w:rsidRPr="004F041B" w:rsidRDefault="00CD5519" w:rsidP="009A2810">
            <w:pPr>
              <w:spacing w:line="245" w:lineRule="auto"/>
              <w:ind w:left="29"/>
              <w:rPr>
                <w:rFonts w:ascii="Barlow" w:hAnsi="Barlow" w:cs="Times New Roman"/>
                <w:color w:val="2F5496" w:themeColor="accent1" w:themeShade="BF"/>
              </w:rPr>
            </w:pPr>
            <w:r w:rsidRPr="004F041B">
              <w:rPr>
                <w:rFonts w:ascii="Barlow" w:hAnsi="Barlow" w:cs="Times New Roman"/>
                <w:color w:val="2F5496" w:themeColor="accent1" w:themeShade="BF"/>
              </w:rPr>
              <w:t>Azioni obbligatorie per accedere all’incentivo (livello base)</w:t>
            </w:r>
          </w:p>
        </w:tc>
        <w:tc>
          <w:tcPr>
            <w:tcW w:w="3827" w:type="dxa"/>
            <w:vAlign w:val="center"/>
          </w:tcPr>
          <w:p w14:paraId="6B720FB2" w14:textId="77777777" w:rsidR="00CD5519" w:rsidRPr="004F041B" w:rsidRDefault="00CD5519" w:rsidP="009A2810">
            <w:pPr>
              <w:spacing w:line="245" w:lineRule="auto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b/>
                <w:bCs/>
                <w:color w:val="2F5496" w:themeColor="accent1" w:themeShade="BF"/>
              </w:rPr>
            </w:pPr>
            <w:r w:rsidRPr="004F041B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>Strumento di verifica di effettività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1D10F63" w14:textId="562073E7" w:rsidR="00CD5519" w:rsidRPr="004F041B" w:rsidRDefault="00CD5519" w:rsidP="009A2810">
            <w:pPr>
              <w:spacing w:line="245" w:lineRule="auto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b/>
                <w:bCs/>
                <w:color w:val="2F5496" w:themeColor="accent1" w:themeShade="BF"/>
              </w:rPr>
            </w:pPr>
            <w:r w:rsidRPr="004F041B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 xml:space="preserve">Indicazione estremi </w:t>
            </w:r>
            <w:r w:rsidR="00730F68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>e</w:t>
            </w:r>
            <w:r w:rsidRPr="004F041B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 xml:space="preserve"> link dell’atto</w:t>
            </w:r>
          </w:p>
        </w:tc>
        <w:tc>
          <w:tcPr>
            <w:tcW w:w="1276" w:type="dxa"/>
            <w:vMerge/>
            <w:vAlign w:val="center"/>
          </w:tcPr>
          <w:p w14:paraId="1C47F5D9" w14:textId="77777777" w:rsidR="00CD5519" w:rsidRPr="004F041B" w:rsidRDefault="00CD5519" w:rsidP="009A2810">
            <w:pPr>
              <w:spacing w:line="245" w:lineRule="auto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b/>
                <w:bCs/>
                <w:color w:val="2F5496" w:themeColor="accent1" w:themeShade="BF"/>
              </w:rPr>
            </w:pPr>
          </w:p>
        </w:tc>
        <w:tc>
          <w:tcPr>
            <w:tcW w:w="425" w:type="dxa"/>
            <w:vMerge/>
          </w:tcPr>
          <w:p w14:paraId="0FAF581B" w14:textId="77777777" w:rsidR="00CD5519" w:rsidRPr="004F041B" w:rsidRDefault="00CD5519" w:rsidP="009A2810">
            <w:pPr>
              <w:spacing w:line="245" w:lineRule="auto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b/>
                <w:bCs/>
                <w:color w:val="2F5496" w:themeColor="accent1" w:themeShade="BF"/>
              </w:rPr>
            </w:pPr>
          </w:p>
        </w:tc>
      </w:tr>
      <w:tr w:rsidR="00CD5519" w:rsidRPr="004F041B" w14:paraId="06A9E149" w14:textId="77777777" w:rsidTr="000B1EB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vAlign w:val="center"/>
          </w:tcPr>
          <w:p w14:paraId="5BB4DFF6" w14:textId="19645819" w:rsidR="00CD5519" w:rsidRPr="004F041B" w:rsidRDefault="00CD5519" w:rsidP="009A2810">
            <w:pPr>
              <w:rPr>
                <w:rFonts w:ascii="Barlow" w:hAnsi="Barlow" w:cs="Times New Roman"/>
              </w:rPr>
            </w:pPr>
            <w:r w:rsidRPr="004F041B">
              <w:rPr>
                <w:rFonts w:ascii="Barlow" w:hAnsi="Barlow" w:cs="Times New Roman"/>
                <w:b w:val="0"/>
              </w:rPr>
              <w:t>Unico sistema di ricezione fatture dallo SDI (</w:t>
            </w:r>
            <w:r w:rsidR="00E255E1" w:rsidRPr="004F041B">
              <w:rPr>
                <w:rFonts w:ascii="Barlow" w:hAnsi="Barlow" w:cs="Times New Roman"/>
                <w:b w:val="0"/>
              </w:rPr>
              <w:t>3</w:t>
            </w:r>
            <w:r w:rsidRPr="004F041B">
              <w:rPr>
                <w:rFonts w:ascii="Barlow" w:hAnsi="Barlow" w:cs="Times New Roman"/>
                <w:b w:val="0"/>
              </w:rPr>
              <w:t>)</w:t>
            </w:r>
          </w:p>
        </w:tc>
        <w:tc>
          <w:tcPr>
            <w:tcW w:w="3827" w:type="dxa"/>
            <w:vAlign w:val="center"/>
          </w:tcPr>
          <w:p w14:paraId="4500D57B" w14:textId="77777777" w:rsidR="00CD5519" w:rsidRPr="004F041B" w:rsidRDefault="00CD5519" w:rsidP="009A2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  <w:r w:rsidRPr="004F041B">
              <w:rPr>
                <w:rFonts w:ascii="Barlow" w:hAnsi="Barlow" w:cs="Times New Roman"/>
              </w:rPr>
              <w:t xml:space="preserve">Atti attuativi      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C0AA5DA" w14:textId="77777777" w:rsidR="00CD5519" w:rsidRPr="004F041B" w:rsidRDefault="00CD5519" w:rsidP="009A2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276" w:type="dxa"/>
            <w:vMerge/>
          </w:tcPr>
          <w:p w14:paraId="4F8971B0" w14:textId="77777777" w:rsidR="00CD5519" w:rsidRPr="004F041B" w:rsidRDefault="00CD5519" w:rsidP="009A2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</w:p>
        </w:tc>
        <w:tc>
          <w:tcPr>
            <w:tcW w:w="425" w:type="dxa"/>
            <w:vMerge/>
          </w:tcPr>
          <w:p w14:paraId="66DB5071" w14:textId="77777777" w:rsidR="00CD5519" w:rsidRPr="004F041B" w:rsidRDefault="00CD5519" w:rsidP="009A2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color w:val="2F5496" w:themeColor="accent1" w:themeShade="BF"/>
              </w:rPr>
            </w:pPr>
          </w:p>
        </w:tc>
      </w:tr>
      <w:tr w:rsidR="00CD5519" w:rsidRPr="004F041B" w14:paraId="0A2A87D0" w14:textId="77777777" w:rsidTr="000B1EB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vAlign w:val="center"/>
          </w:tcPr>
          <w:p w14:paraId="3E346604" w14:textId="53D1A54D" w:rsidR="00CD5519" w:rsidRPr="004F041B" w:rsidRDefault="00CD5519" w:rsidP="009A2810">
            <w:pPr>
              <w:rPr>
                <w:rFonts w:ascii="Barlow" w:hAnsi="Barlow" w:cs="Times New Roman"/>
              </w:rPr>
            </w:pPr>
            <w:r w:rsidRPr="004F041B">
              <w:rPr>
                <w:rFonts w:ascii="Barlow" w:hAnsi="Barlow" w:cs="Times New Roman"/>
                <w:b w:val="0"/>
              </w:rPr>
              <w:t xml:space="preserve">Definizione di regole comuni </w:t>
            </w:r>
            <w:r w:rsidR="00977B69" w:rsidRPr="004F041B">
              <w:rPr>
                <w:rFonts w:ascii="Barlow" w:hAnsi="Barlow" w:cs="Times New Roman"/>
                <w:b w:val="0"/>
              </w:rPr>
              <w:t xml:space="preserve">di gestione </w:t>
            </w:r>
            <w:r w:rsidR="009C609F" w:rsidRPr="004F041B">
              <w:rPr>
                <w:rFonts w:ascii="Barlow" w:hAnsi="Barlow" w:cs="Times New Roman"/>
                <w:b w:val="0"/>
              </w:rPr>
              <w:t xml:space="preserve">della </w:t>
            </w:r>
            <w:r w:rsidR="009C609F" w:rsidRPr="00123AC2">
              <w:rPr>
                <w:rFonts w:ascii="Barlow" w:hAnsi="Barlow" w:cs="Times New Roman"/>
                <w:b w:val="0"/>
                <w:bCs w:val="0"/>
              </w:rPr>
              <w:t>contabilità</w:t>
            </w:r>
            <w:r w:rsidRPr="00123AC2">
              <w:rPr>
                <w:rFonts w:ascii="Barlow" w:hAnsi="Barlow" w:cs="Times New Roman"/>
                <w:b w:val="0"/>
                <w:bCs w:val="0"/>
              </w:rPr>
              <w:t xml:space="preserve"> (2)</w:t>
            </w:r>
          </w:p>
        </w:tc>
        <w:tc>
          <w:tcPr>
            <w:tcW w:w="3827" w:type="dxa"/>
            <w:vAlign w:val="center"/>
          </w:tcPr>
          <w:p w14:paraId="7B3A7FA4" w14:textId="77777777" w:rsidR="00CD5519" w:rsidRPr="004F041B" w:rsidRDefault="00CD5519" w:rsidP="009A2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  <w:r w:rsidRPr="004F041B">
              <w:rPr>
                <w:rFonts w:ascii="Barlow" w:hAnsi="Barlow" w:cs="Times New Roman"/>
              </w:rPr>
              <w:t xml:space="preserve">Atti interni di definizione   delle procedure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E3FAEC4" w14:textId="77777777" w:rsidR="00CD5519" w:rsidRPr="004F041B" w:rsidRDefault="00CD5519" w:rsidP="009A2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276" w:type="dxa"/>
            <w:vMerge/>
          </w:tcPr>
          <w:p w14:paraId="3C20562B" w14:textId="77777777" w:rsidR="00CD5519" w:rsidRPr="004F041B" w:rsidRDefault="00CD5519" w:rsidP="009A2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</w:p>
        </w:tc>
        <w:tc>
          <w:tcPr>
            <w:tcW w:w="425" w:type="dxa"/>
            <w:vMerge/>
          </w:tcPr>
          <w:p w14:paraId="3F96759B" w14:textId="77777777" w:rsidR="00CD5519" w:rsidRPr="004F041B" w:rsidRDefault="00CD5519" w:rsidP="009A2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color w:val="2F5496" w:themeColor="accent1" w:themeShade="BF"/>
              </w:rPr>
            </w:pPr>
          </w:p>
        </w:tc>
      </w:tr>
      <w:tr w:rsidR="002B1C4F" w:rsidRPr="004F041B" w14:paraId="737ADD76" w14:textId="77777777" w:rsidTr="000B1EBC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vAlign w:val="center"/>
          </w:tcPr>
          <w:p w14:paraId="1CA8FB80" w14:textId="6BB5D493" w:rsidR="002B1C4F" w:rsidRPr="004F041B" w:rsidRDefault="002B1C4F" w:rsidP="009A2810">
            <w:pPr>
              <w:rPr>
                <w:rFonts w:ascii="Barlow" w:hAnsi="Barlow" w:cs="Times New Roman"/>
                <w:color w:val="FF0000"/>
              </w:rPr>
            </w:pPr>
            <w:r w:rsidRPr="002B1C4F">
              <w:rPr>
                <w:rFonts w:ascii="Barlow" w:hAnsi="Barlow" w:cs="Times New Roman"/>
                <w:color w:val="2F5496" w:themeColor="accent1" w:themeShade="BF"/>
              </w:rPr>
              <w:t>Attivazione, nel triennio, di attività integrative del livello base</w:t>
            </w:r>
          </w:p>
        </w:tc>
        <w:tc>
          <w:tcPr>
            <w:tcW w:w="8363" w:type="dxa"/>
            <w:gridSpan w:val="4"/>
            <w:vAlign w:val="center"/>
          </w:tcPr>
          <w:p w14:paraId="3B096BD7" w14:textId="77777777" w:rsidR="002B1C4F" w:rsidRPr="004F041B" w:rsidRDefault="002B1C4F" w:rsidP="009A2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color w:val="2F5496" w:themeColor="accent1" w:themeShade="BF"/>
              </w:rPr>
            </w:pPr>
          </w:p>
        </w:tc>
      </w:tr>
      <w:tr w:rsidR="00940D45" w:rsidRPr="004F041B" w14:paraId="06B01352" w14:textId="77777777" w:rsidTr="000B1EB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vAlign w:val="center"/>
          </w:tcPr>
          <w:p w14:paraId="02C17FB3" w14:textId="77777777" w:rsidR="00940D45" w:rsidRPr="004F041B" w:rsidRDefault="00940D45">
            <w:pPr>
              <w:spacing w:line="245" w:lineRule="auto"/>
              <w:rPr>
                <w:rFonts w:ascii="Barlow" w:hAnsi="Barlow" w:cs="Times New Roman"/>
              </w:rPr>
            </w:pPr>
            <w:r w:rsidRPr="004F041B">
              <w:rPr>
                <w:rFonts w:ascii="Barlow" w:hAnsi="Barlow" w:cs="Times New Roman"/>
                <w:b w:val="0"/>
              </w:rPr>
              <w:t>Unico responsabile finanziario (firma bilanci Unione Comuni e/o copertura finanziaria) (2)</w:t>
            </w:r>
          </w:p>
        </w:tc>
        <w:tc>
          <w:tcPr>
            <w:tcW w:w="3827" w:type="dxa"/>
            <w:vAlign w:val="center"/>
          </w:tcPr>
          <w:p w14:paraId="544CBABC" w14:textId="77777777" w:rsidR="00940D45" w:rsidRPr="004F041B" w:rsidRDefault="00940D45">
            <w:pPr>
              <w:spacing w:line="24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  <w:r w:rsidRPr="004F041B">
              <w:rPr>
                <w:rFonts w:ascii="Barlow" w:hAnsi="Barlow" w:cs="Times New Roman"/>
              </w:rPr>
              <w:t>Atto di nomina</w:t>
            </w:r>
          </w:p>
        </w:tc>
        <w:tc>
          <w:tcPr>
            <w:tcW w:w="2835" w:type="dxa"/>
            <w:vAlign w:val="center"/>
          </w:tcPr>
          <w:p w14:paraId="1EA4ADCB" w14:textId="77777777" w:rsidR="00940D45" w:rsidRPr="004F041B" w:rsidRDefault="00940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</w:p>
        </w:tc>
        <w:tc>
          <w:tcPr>
            <w:tcW w:w="1276" w:type="dxa"/>
            <w:vAlign w:val="center"/>
          </w:tcPr>
          <w:p w14:paraId="2EAC1A04" w14:textId="77777777" w:rsidR="00940D45" w:rsidRPr="004F041B" w:rsidRDefault="00940D45">
            <w:pPr>
              <w:spacing w:line="24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  <w:r w:rsidRPr="004F041B">
              <w:rPr>
                <w:rFonts w:ascii="Barlow" w:hAnsi="Barlow" w:cs="Times New Roman"/>
              </w:rPr>
              <w:t>10%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ascii="Barlow" w:hAnsi="Barlow" w:cs="Times New Roman"/>
                <w:color w:val="2F5496" w:themeColor="accent1" w:themeShade="BF"/>
                <w:shd w:val="clear" w:color="auto" w:fill="E6E6E6"/>
              </w:rPr>
              <w:id w:val="1527750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6EDA0E" w14:textId="77777777" w:rsidR="00940D45" w:rsidRPr="004F041B" w:rsidRDefault="00940D4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rlow" w:hAnsi="Barlow" w:cs="Times New Roman"/>
                    <w:color w:val="2F5496" w:themeColor="accent1" w:themeShade="BF"/>
                  </w:rPr>
                </w:pPr>
                <w:r w:rsidRPr="004F041B">
                  <w:rPr>
                    <w:rFonts w:ascii="Segoe UI Symbol" w:eastAsia="MS Gothic" w:hAnsi="Segoe UI Symbol" w:cs="Segoe UI Symbol"/>
                    <w:color w:val="2F5496" w:themeColor="accent1" w:themeShade="BF"/>
                  </w:rPr>
                  <w:t>☐</w:t>
                </w:r>
              </w:p>
            </w:sdtContent>
          </w:sdt>
        </w:tc>
      </w:tr>
      <w:tr w:rsidR="00CD5519" w:rsidRPr="004F041B" w14:paraId="34D21A3E" w14:textId="77777777" w:rsidTr="000B1EB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vAlign w:val="center"/>
          </w:tcPr>
          <w:p w14:paraId="0CE2EAC8" w14:textId="39A8F640" w:rsidR="00CD5519" w:rsidRPr="00123AC2" w:rsidRDefault="00CD5519" w:rsidP="009A2810">
            <w:pPr>
              <w:spacing w:line="245" w:lineRule="auto"/>
              <w:rPr>
                <w:rFonts w:ascii="Barlow" w:hAnsi="Barlow" w:cs="Times New Roman"/>
                <w:b w:val="0"/>
              </w:rPr>
            </w:pPr>
            <w:r w:rsidRPr="00123AC2">
              <w:rPr>
                <w:rFonts w:ascii="Barlow" w:hAnsi="Barlow" w:cs="Times New Roman"/>
                <w:b w:val="0"/>
              </w:rPr>
              <w:t xml:space="preserve">Unico software per la </w:t>
            </w:r>
            <w:r w:rsidR="00A54DCA" w:rsidRPr="00123AC2">
              <w:rPr>
                <w:rFonts w:ascii="Barlow" w:hAnsi="Barlow" w:cs="Times New Roman"/>
                <w:b w:val="0"/>
              </w:rPr>
              <w:t xml:space="preserve">gestione </w:t>
            </w:r>
            <w:r w:rsidRPr="00123AC2">
              <w:rPr>
                <w:rFonts w:ascii="Barlow" w:hAnsi="Barlow" w:cs="Times New Roman"/>
                <w:b w:val="0"/>
              </w:rPr>
              <w:t>contabilità</w:t>
            </w:r>
            <w:r w:rsidR="00A54DCA" w:rsidRPr="00123AC2">
              <w:rPr>
                <w:rFonts w:ascii="Barlow" w:hAnsi="Barlow" w:cs="Times New Roman"/>
                <w:b w:val="0"/>
              </w:rPr>
              <w:t xml:space="preserve"> armonizzata Unione e </w:t>
            </w:r>
            <w:r w:rsidR="009C609F" w:rsidRPr="00123AC2">
              <w:rPr>
                <w:rFonts w:ascii="Barlow" w:hAnsi="Barlow" w:cs="Times New Roman"/>
                <w:b w:val="0"/>
              </w:rPr>
              <w:t>Comuni economico</w:t>
            </w:r>
            <w:r w:rsidRPr="00123AC2">
              <w:rPr>
                <w:rFonts w:ascii="Barlow" w:hAnsi="Barlow" w:cs="Times New Roman"/>
                <w:b w:val="0"/>
              </w:rPr>
              <w:t>-patrimoniale</w:t>
            </w:r>
          </w:p>
        </w:tc>
        <w:tc>
          <w:tcPr>
            <w:tcW w:w="3827" w:type="dxa"/>
            <w:vAlign w:val="center"/>
          </w:tcPr>
          <w:p w14:paraId="7855ADAE" w14:textId="77777777" w:rsidR="00CD5519" w:rsidRPr="004F041B" w:rsidRDefault="00CD5519" w:rsidP="009A2810">
            <w:pPr>
              <w:spacing w:line="24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  <w:r w:rsidRPr="004F041B">
              <w:rPr>
                <w:rFonts w:ascii="Barlow" w:hAnsi="Barlow" w:cs="Times New Roman"/>
              </w:rPr>
              <w:t>Copia fatture d’acquisto/ addebito canone di assistenza</w:t>
            </w:r>
          </w:p>
        </w:tc>
        <w:tc>
          <w:tcPr>
            <w:tcW w:w="2835" w:type="dxa"/>
            <w:vAlign w:val="center"/>
          </w:tcPr>
          <w:p w14:paraId="09F4E0CE" w14:textId="77777777" w:rsidR="00CD5519" w:rsidRPr="004F041B" w:rsidRDefault="00CD5519" w:rsidP="009A2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</w:p>
        </w:tc>
        <w:tc>
          <w:tcPr>
            <w:tcW w:w="1276" w:type="dxa"/>
            <w:vAlign w:val="center"/>
          </w:tcPr>
          <w:p w14:paraId="1260E43A" w14:textId="7D608F11" w:rsidR="00CD5519" w:rsidRPr="004F041B" w:rsidRDefault="00940D45" w:rsidP="009A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  <w:r w:rsidRPr="004F041B">
              <w:rPr>
                <w:rFonts w:ascii="Barlow" w:hAnsi="Barlow" w:cs="Times New Roman"/>
              </w:rPr>
              <w:t>10</w:t>
            </w:r>
            <w:r w:rsidR="00CD5519" w:rsidRPr="004F041B">
              <w:rPr>
                <w:rFonts w:ascii="Barlow" w:hAnsi="Barlow" w:cs="Times New Roman"/>
              </w:rPr>
              <w:t>%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ascii="Barlow" w:hAnsi="Barlow" w:cs="Times New Roman"/>
                <w:color w:val="2F5496" w:themeColor="accent1" w:themeShade="BF"/>
                <w:shd w:val="clear" w:color="auto" w:fill="E6E6E6"/>
              </w:rPr>
              <w:id w:val="1349366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20510D" w14:textId="77777777" w:rsidR="00CD5519" w:rsidRPr="004F041B" w:rsidRDefault="00CD5519" w:rsidP="009A281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rlow" w:hAnsi="Barlow" w:cs="Times New Roman"/>
                    <w:color w:val="2F5496" w:themeColor="accent1" w:themeShade="BF"/>
                  </w:rPr>
                </w:pPr>
                <w:r w:rsidRPr="004F041B">
                  <w:rPr>
                    <w:rFonts w:ascii="Segoe UI Symbol" w:eastAsia="MS Gothic" w:hAnsi="Segoe UI Symbol" w:cs="Segoe UI Symbol"/>
                    <w:color w:val="2F5496" w:themeColor="accent1" w:themeShade="BF"/>
                  </w:rPr>
                  <w:t>☐</w:t>
                </w:r>
              </w:p>
            </w:sdtContent>
          </w:sdt>
        </w:tc>
      </w:tr>
      <w:tr w:rsidR="00BC12A2" w:rsidRPr="004F041B" w14:paraId="7149E49C" w14:textId="77777777" w:rsidTr="000B1EB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vAlign w:val="center"/>
          </w:tcPr>
          <w:p w14:paraId="3111201E" w14:textId="0B2A86A8" w:rsidR="00BC12A2" w:rsidRPr="00123AC2" w:rsidRDefault="00910C19" w:rsidP="009A2810">
            <w:pPr>
              <w:spacing w:line="245" w:lineRule="auto"/>
              <w:rPr>
                <w:rFonts w:ascii="Barlow" w:hAnsi="Barlow" w:cs="Times New Roman"/>
                <w:b w:val="0"/>
              </w:rPr>
            </w:pPr>
            <w:r w:rsidRPr="00123AC2">
              <w:rPr>
                <w:rFonts w:ascii="Barlow" w:hAnsi="Barlow" w:cs="Times New Roman"/>
                <w:b w:val="0"/>
              </w:rPr>
              <w:t xml:space="preserve">Ufficio unico </w:t>
            </w:r>
            <w:r w:rsidR="00BC12A2" w:rsidRPr="00123AC2">
              <w:rPr>
                <w:rFonts w:ascii="Barlow" w:hAnsi="Barlow" w:cs="Times New Roman"/>
                <w:b w:val="0"/>
              </w:rPr>
              <w:t>di gestione</w:t>
            </w:r>
            <w:r w:rsidR="00BC12A2" w:rsidRPr="00123AC2">
              <w:rPr>
                <w:rFonts w:ascii="Barlow" w:hAnsi="Barlow" w:cs="Times New Roman"/>
                <w:b w:val="0"/>
                <w:strike/>
              </w:rPr>
              <w:t xml:space="preserve"> </w:t>
            </w:r>
            <w:r w:rsidR="003E1A66" w:rsidRPr="00123AC2">
              <w:rPr>
                <w:rFonts w:ascii="Barlow" w:hAnsi="Barlow" w:cs="Times New Roman"/>
                <w:b w:val="0"/>
              </w:rPr>
              <w:t xml:space="preserve">mandati reversali e/o adempimenti contabili (BDAP, Corte Conti, Fabbisogni, etc.) </w:t>
            </w:r>
            <w:r w:rsidR="00A54DCA" w:rsidRPr="00123AC2">
              <w:rPr>
                <w:rFonts w:ascii="Barlow" w:hAnsi="Barlow" w:cs="Times New Roman"/>
                <w:b w:val="0"/>
              </w:rPr>
              <w:t xml:space="preserve">per Unione e Comuni </w:t>
            </w:r>
          </w:p>
        </w:tc>
        <w:tc>
          <w:tcPr>
            <w:tcW w:w="3827" w:type="dxa"/>
            <w:vAlign w:val="center"/>
          </w:tcPr>
          <w:p w14:paraId="7909DB70" w14:textId="05555E31" w:rsidR="00BC12A2" w:rsidRPr="004F041B" w:rsidRDefault="00A54DCA" w:rsidP="009A2810">
            <w:pPr>
              <w:spacing w:line="24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  <w:r w:rsidRPr="004F041B">
              <w:rPr>
                <w:rFonts w:ascii="Barlow" w:hAnsi="Barlow" w:cs="Times New Roman"/>
              </w:rPr>
              <w:t>Atto organizzativo di individuazione</w:t>
            </w:r>
            <w:r w:rsidR="00FA2D43" w:rsidRPr="004F041B">
              <w:rPr>
                <w:rFonts w:ascii="Barlow" w:hAnsi="Barlow" w:cs="Times New Roman"/>
              </w:rPr>
              <w:t xml:space="preserve"> ufficio unico</w:t>
            </w:r>
          </w:p>
        </w:tc>
        <w:tc>
          <w:tcPr>
            <w:tcW w:w="2835" w:type="dxa"/>
            <w:vAlign w:val="center"/>
          </w:tcPr>
          <w:p w14:paraId="0A344EE7" w14:textId="77777777" w:rsidR="00BC12A2" w:rsidRPr="004F041B" w:rsidRDefault="00BC12A2" w:rsidP="009A2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</w:p>
        </w:tc>
        <w:tc>
          <w:tcPr>
            <w:tcW w:w="1276" w:type="dxa"/>
            <w:vAlign w:val="center"/>
          </w:tcPr>
          <w:p w14:paraId="13C3A719" w14:textId="0E19059C" w:rsidR="00BC12A2" w:rsidRPr="004F041B" w:rsidRDefault="00940D45" w:rsidP="009A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  <w:r w:rsidRPr="004F041B">
              <w:rPr>
                <w:rFonts w:ascii="Barlow" w:hAnsi="Barlow" w:cs="Times New Roman"/>
              </w:rPr>
              <w:t>1</w:t>
            </w:r>
            <w:r w:rsidR="00FA2D43" w:rsidRPr="004F041B">
              <w:rPr>
                <w:rFonts w:ascii="Barlow" w:hAnsi="Barlow" w:cs="Times New Roman"/>
              </w:rPr>
              <w:t>0</w:t>
            </w:r>
            <w:r w:rsidR="00A54DCA" w:rsidRPr="004F041B">
              <w:rPr>
                <w:rFonts w:ascii="Barlow" w:hAnsi="Barlow" w:cs="Times New Roman"/>
              </w:rPr>
              <w:t>%</w:t>
            </w:r>
          </w:p>
        </w:tc>
        <w:tc>
          <w:tcPr>
            <w:tcW w:w="425" w:type="dxa"/>
            <w:vAlign w:val="center"/>
          </w:tcPr>
          <w:p w14:paraId="53EE1FE1" w14:textId="77777777" w:rsidR="00BC12A2" w:rsidRPr="004F041B" w:rsidRDefault="00BC12A2" w:rsidP="009A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color w:val="2F5496" w:themeColor="accent1" w:themeShade="BF"/>
                <w:shd w:val="clear" w:color="auto" w:fill="E6E6E6"/>
              </w:rPr>
            </w:pPr>
          </w:p>
        </w:tc>
      </w:tr>
      <w:tr w:rsidR="00FA2D43" w:rsidRPr="004F041B" w14:paraId="5DFC967F" w14:textId="77777777" w:rsidTr="000B1EB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vAlign w:val="center"/>
          </w:tcPr>
          <w:p w14:paraId="127E9A47" w14:textId="3FE0B4C5" w:rsidR="00FA2D43" w:rsidRPr="004F041B" w:rsidRDefault="0068479A" w:rsidP="009A2810">
            <w:pPr>
              <w:spacing w:line="245" w:lineRule="auto"/>
              <w:rPr>
                <w:rFonts w:ascii="Barlow" w:hAnsi="Barlow" w:cs="Times New Roman"/>
                <w:b w:val="0"/>
                <w:bCs w:val="0"/>
              </w:rPr>
            </w:pPr>
            <w:r w:rsidRPr="004F041B">
              <w:rPr>
                <w:rFonts w:ascii="Barlow" w:hAnsi="Barlow" w:cs="Times New Roman"/>
                <w:b w:val="0"/>
                <w:bCs w:val="0"/>
              </w:rPr>
              <w:t xml:space="preserve">Attività di parifica crediti/debiti fra Unione e Comuni </w:t>
            </w:r>
          </w:p>
        </w:tc>
        <w:tc>
          <w:tcPr>
            <w:tcW w:w="3827" w:type="dxa"/>
            <w:vAlign w:val="center"/>
          </w:tcPr>
          <w:p w14:paraId="1DF15629" w14:textId="1EFEEDE0" w:rsidR="00FA2D43" w:rsidRPr="004F041B" w:rsidRDefault="0068479A" w:rsidP="009A2810">
            <w:pPr>
              <w:spacing w:line="24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  <w:r w:rsidRPr="004F041B">
              <w:rPr>
                <w:rFonts w:ascii="Barlow" w:hAnsi="Barlow" w:cs="Times New Roman"/>
              </w:rPr>
              <w:t>Report consuntivo</w:t>
            </w:r>
          </w:p>
        </w:tc>
        <w:tc>
          <w:tcPr>
            <w:tcW w:w="2835" w:type="dxa"/>
            <w:vAlign w:val="center"/>
          </w:tcPr>
          <w:p w14:paraId="4E83177E" w14:textId="77777777" w:rsidR="00FA2D43" w:rsidRPr="004F041B" w:rsidRDefault="00FA2D43" w:rsidP="009A2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</w:p>
        </w:tc>
        <w:tc>
          <w:tcPr>
            <w:tcW w:w="1276" w:type="dxa"/>
            <w:vAlign w:val="center"/>
          </w:tcPr>
          <w:p w14:paraId="16292A3F" w14:textId="3B2ED816" w:rsidR="00FA2D43" w:rsidRPr="004F041B" w:rsidRDefault="0068479A" w:rsidP="009A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  <w:r w:rsidRPr="004F041B">
              <w:rPr>
                <w:rFonts w:ascii="Barlow" w:hAnsi="Barlow" w:cs="Times New Roman"/>
              </w:rPr>
              <w:t>5%</w:t>
            </w:r>
          </w:p>
        </w:tc>
        <w:tc>
          <w:tcPr>
            <w:tcW w:w="425" w:type="dxa"/>
            <w:vAlign w:val="center"/>
          </w:tcPr>
          <w:p w14:paraId="444674D3" w14:textId="77777777" w:rsidR="00FA2D43" w:rsidRPr="004F041B" w:rsidRDefault="00FA2D43" w:rsidP="009A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color w:val="2F5496" w:themeColor="accent1" w:themeShade="BF"/>
                <w:shd w:val="clear" w:color="auto" w:fill="E6E6E6"/>
              </w:rPr>
            </w:pPr>
          </w:p>
        </w:tc>
      </w:tr>
      <w:tr w:rsidR="00730F68" w:rsidRPr="004F041B" w14:paraId="565A3706" w14:textId="77777777" w:rsidTr="000B1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vAlign w:val="center"/>
          </w:tcPr>
          <w:p w14:paraId="7B45910A" w14:textId="77777777" w:rsidR="00730F68" w:rsidRPr="004F041B" w:rsidRDefault="00730F68" w:rsidP="009A2810">
            <w:pPr>
              <w:rPr>
                <w:rFonts w:ascii="Barlow" w:hAnsi="Barlow" w:cs="Times New Roman"/>
                <w:color w:val="2F5496" w:themeColor="accent1" w:themeShade="BF"/>
              </w:rPr>
            </w:pPr>
            <w:r w:rsidRPr="004F041B">
              <w:rPr>
                <w:rFonts w:ascii="Barlow" w:hAnsi="Barlow" w:cs="Times New Roman"/>
                <w:color w:val="2F5496" w:themeColor="accent1" w:themeShade="BF"/>
              </w:rPr>
              <w:t>Azioni di consolidamento della funzione (livello avanzato)</w:t>
            </w:r>
          </w:p>
        </w:tc>
        <w:tc>
          <w:tcPr>
            <w:tcW w:w="3827" w:type="dxa"/>
            <w:vAlign w:val="center"/>
          </w:tcPr>
          <w:p w14:paraId="36DA28A4" w14:textId="77777777" w:rsidR="00730F68" w:rsidRPr="004F041B" w:rsidRDefault="00730F68" w:rsidP="009A2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color w:val="2F5496" w:themeColor="accent1" w:themeShade="BF"/>
              </w:rPr>
            </w:pPr>
            <w:r w:rsidRPr="004F041B">
              <w:rPr>
                <w:rFonts w:ascii="Barlow" w:hAnsi="Barlow"/>
                <w:b/>
                <w:bCs/>
                <w:color w:val="2F5496" w:themeColor="accent1" w:themeShade="BF"/>
              </w:rPr>
              <w:t>Strumento di verifica di effettività</w:t>
            </w:r>
          </w:p>
        </w:tc>
        <w:tc>
          <w:tcPr>
            <w:tcW w:w="2835" w:type="dxa"/>
            <w:vAlign w:val="center"/>
          </w:tcPr>
          <w:p w14:paraId="6A55E6BB" w14:textId="7E01DDBC" w:rsidR="00730F68" w:rsidRPr="004F041B" w:rsidRDefault="00730F68" w:rsidP="009A2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color w:val="2F5496" w:themeColor="accent1" w:themeShade="BF"/>
              </w:rPr>
            </w:pPr>
            <w:r w:rsidRPr="004F041B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 xml:space="preserve">Indicazione estremi </w:t>
            </w:r>
            <w:r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>e</w:t>
            </w:r>
            <w:r w:rsidRPr="004F041B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 xml:space="preserve"> link dell’atto</w:t>
            </w:r>
          </w:p>
        </w:tc>
        <w:tc>
          <w:tcPr>
            <w:tcW w:w="1701" w:type="dxa"/>
            <w:gridSpan w:val="2"/>
          </w:tcPr>
          <w:p w14:paraId="0D6E2A52" w14:textId="3015C780" w:rsidR="00730F68" w:rsidRPr="004F041B" w:rsidRDefault="00730F68" w:rsidP="009A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color w:val="2F5496" w:themeColor="accent1" w:themeShade="BF"/>
              </w:rPr>
            </w:pPr>
            <w:r w:rsidRPr="00730F68">
              <w:rPr>
                <w:rFonts w:ascii="Barlow" w:hAnsi="Barlow" w:cs="Times New Roman"/>
                <w:color w:val="2F5496" w:themeColor="accent1" w:themeShade="BF"/>
              </w:rPr>
              <w:t>Ogni azione aggiunta equivale a % di punteggio più alta riconosciuta</w:t>
            </w:r>
          </w:p>
        </w:tc>
      </w:tr>
      <w:tr w:rsidR="00940D45" w:rsidRPr="004F041B" w14:paraId="5C81643F" w14:textId="77777777" w:rsidTr="000B1EB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vAlign w:val="center"/>
          </w:tcPr>
          <w:p w14:paraId="1099B280" w14:textId="64362685" w:rsidR="00940D45" w:rsidRPr="004F041B" w:rsidRDefault="00940D45">
            <w:pPr>
              <w:widowControl w:val="0"/>
              <w:tabs>
                <w:tab w:val="left" w:pos="-1276"/>
              </w:tabs>
              <w:spacing w:line="245" w:lineRule="auto"/>
              <w:rPr>
                <w:rFonts w:ascii="Barlow" w:hAnsi="Barlow" w:cs="Times New Roman"/>
                <w:strike/>
              </w:rPr>
            </w:pPr>
            <w:r w:rsidRPr="004F041B">
              <w:rPr>
                <w:rFonts w:ascii="Barlow" w:hAnsi="Barlow" w:cs="Times New Roman"/>
                <w:b w:val="0"/>
              </w:rPr>
              <w:t>Coordinamento della gestione della cassa (vincoli, etc..)</w:t>
            </w:r>
          </w:p>
        </w:tc>
        <w:tc>
          <w:tcPr>
            <w:tcW w:w="3827" w:type="dxa"/>
            <w:vAlign w:val="center"/>
          </w:tcPr>
          <w:p w14:paraId="7361A453" w14:textId="244FE6F1" w:rsidR="00940D45" w:rsidRPr="004F041B" w:rsidRDefault="00940D45">
            <w:pPr>
              <w:spacing w:line="24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  <w:r w:rsidRPr="004F041B">
              <w:rPr>
                <w:rFonts w:ascii="Barlow" w:hAnsi="Barlow" w:cs="Times New Roman"/>
              </w:rPr>
              <w:t xml:space="preserve">Redazione unica o coordinata di atti e report unici dell’andamento flussi di cassa per </w:t>
            </w:r>
            <w:r w:rsidR="00824D9C">
              <w:rPr>
                <w:rFonts w:ascii="Barlow" w:hAnsi="Barlow" w:cs="Times New Roman"/>
              </w:rPr>
              <w:t>C</w:t>
            </w:r>
            <w:r w:rsidRPr="004F041B">
              <w:rPr>
                <w:rFonts w:ascii="Barlow" w:hAnsi="Barlow" w:cs="Times New Roman"/>
              </w:rPr>
              <w:t xml:space="preserve">omuni e </w:t>
            </w:r>
            <w:r w:rsidR="00824D9C">
              <w:rPr>
                <w:rFonts w:ascii="Barlow" w:hAnsi="Barlow" w:cs="Times New Roman"/>
              </w:rPr>
              <w:t>U</w:t>
            </w:r>
            <w:r w:rsidRPr="004F041B">
              <w:rPr>
                <w:rFonts w:ascii="Barlow" w:hAnsi="Barlow" w:cs="Times New Roman"/>
              </w:rPr>
              <w:t>nione</w:t>
            </w:r>
          </w:p>
          <w:p w14:paraId="03E9FD77" w14:textId="77777777" w:rsidR="00940D45" w:rsidRPr="004F041B" w:rsidRDefault="00940D45">
            <w:pPr>
              <w:spacing w:line="24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strike/>
              </w:rPr>
            </w:pPr>
          </w:p>
        </w:tc>
        <w:tc>
          <w:tcPr>
            <w:tcW w:w="2835" w:type="dxa"/>
            <w:vAlign w:val="center"/>
          </w:tcPr>
          <w:p w14:paraId="42AD74B4" w14:textId="77777777" w:rsidR="00940D45" w:rsidRPr="004F041B" w:rsidRDefault="00940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strike/>
              </w:rPr>
            </w:pPr>
          </w:p>
        </w:tc>
        <w:tc>
          <w:tcPr>
            <w:tcW w:w="1276" w:type="dxa"/>
            <w:vAlign w:val="center"/>
          </w:tcPr>
          <w:p w14:paraId="1362F941" w14:textId="0A8E48A4" w:rsidR="00940D45" w:rsidRPr="004F041B" w:rsidRDefault="00684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  <w:r w:rsidRPr="004F041B">
              <w:rPr>
                <w:rFonts w:ascii="Barlow" w:hAnsi="Barlow" w:cs="Times New Roman"/>
              </w:rPr>
              <w:t>5</w:t>
            </w:r>
            <w:r w:rsidR="00940D45" w:rsidRPr="004F041B">
              <w:rPr>
                <w:rFonts w:ascii="Barlow" w:hAnsi="Barlow" w:cs="Times New Roman"/>
              </w:rPr>
              <w:t>%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ascii="Barlow" w:hAnsi="Barlow" w:cs="Times New Roman"/>
                <w:color w:val="2F5496" w:themeColor="accent1" w:themeShade="BF"/>
                <w:shd w:val="clear" w:color="auto" w:fill="E6E6E6"/>
              </w:rPr>
              <w:id w:val="-799988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01009D" w14:textId="77777777" w:rsidR="00940D45" w:rsidRPr="004F041B" w:rsidRDefault="00940D4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rlow" w:hAnsi="Barlow" w:cs="Times New Roman"/>
                    <w:color w:val="2F5496" w:themeColor="accent1" w:themeShade="BF"/>
                  </w:rPr>
                </w:pPr>
                <w:r w:rsidRPr="004F041B">
                  <w:rPr>
                    <w:rFonts w:ascii="Segoe UI Symbol" w:eastAsia="MS Gothic" w:hAnsi="Segoe UI Symbol" w:cs="Segoe UI Symbol"/>
                    <w:color w:val="2F5496" w:themeColor="accent1" w:themeShade="BF"/>
                  </w:rPr>
                  <w:t>☐</w:t>
                </w:r>
              </w:p>
            </w:sdtContent>
          </w:sdt>
        </w:tc>
      </w:tr>
      <w:tr w:rsidR="00CD5519" w:rsidRPr="004F041B" w14:paraId="1976C4C5" w14:textId="77777777" w:rsidTr="000B1EB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vAlign w:val="center"/>
          </w:tcPr>
          <w:p w14:paraId="5DFDB399" w14:textId="4C1148EF" w:rsidR="00CD5519" w:rsidRPr="004F041B" w:rsidRDefault="009F50E2" w:rsidP="009A2810">
            <w:pPr>
              <w:widowControl w:val="0"/>
              <w:tabs>
                <w:tab w:val="left" w:pos="-1276"/>
              </w:tabs>
              <w:spacing w:line="245" w:lineRule="auto"/>
              <w:rPr>
                <w:rFonts w:ascii="Barlow" w:hAnsi="Barlow" w:cs="Times New Roman"/>
              </w:rPr>
            </w:pPr>
            <w:r w:rsidRPr="004F041B">
              <w:rPr>
                <w:rFonts w:ascii="Barlow" w:hAnsi="Barlow" w:cs="Times New Roman"/>
                <w:b w:val="0"/>
              </w:rPr>
              <w:t>U</w:t>
            </w:r>
            <w:r w:rsidR="00A25672" w:rsidRPr="004F041B">
              <w:rPr>
                <w:rFonts w:ascii="Barlow" w:hAnsi="Barlow" w:cs="Times New Roman"/>
                <w:b w:val="0"/>
              </w:rPr>
              <w:t xml:space="preserve">fficio unico adempimenti </w:t>
            </w:r>
            <w:r w:rsidR="009C609F" w:rsidRPr="00123AC2">
              <w:rPr>
                <w:rFonts w:ascii="Barlow" w:hAnsi="Barlow" w:cs="Times New Roman"/>
                <w:b w:val="0"/>
              </w:rPr>
              <w:t>fiscali (</w:t>
            </w:r>
            <w:r w:rsidR="00CD5519" w:rsidRPr="00123AC2">
              <w:rPr>
                <w:rFonts w:ascii="Barlow" w:hAnsi="Barlow" w:cs="Times New Roman"/>
                <w:b w:val="0"/>
              </w:rPr>
              <w:t>1)</w:t>
            </w:r>
            <w:r w:rsidR="007F44E2" w:rsidRPr="004F041B">
              <w:rPr>
                <w:rFonts w:ascii="Barlow" w:hAnsi="Barlow" w:cs="Times New Roman"/>
                <w:b w:val="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68DFED4A" w14:textId="0973752C" w:rsidR="00CD5519" w:rsidRPr="004F041B" w:rsidRDefault="00CD5519" w:rsidP="009A2810">
            <w:pPr>
              <w:spacing w:line="24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  <w:r w:rsidRPr="004F041B">
              <w:rPr>
                <w:rFonts w:ascii="Barlow" w:hAnsi="Barlow" w:cs="Times New Roman"/>
              </w:rPr>
              <w:t xml:space="preserve">Atto di </w:t>
            </w:r>
            <w:r w:rsidR="00A25672" w:rsidRPr="004F041B">
              <w:rPr>
                <w:rFonts w:ascii="Barlow" w:hAnsi="Barlow" w:cs="Times New Roman"/>
              </w:rPr>
              <w:t>individuazione e organizzativa</w:t>
            </w:r>
          </w:p>
        </w:tc>
        <w:tc>
          <w:tcPr>
            <w:tcW w:w="2835" w:type="dxa"/>
            <w:vAlign w:val="center"/>
          </w:tcPr>
          <w:p w14:paraId="719F219F" w14:textId="77777777" w:rsidR="00CD5519" w:rsidRPr="004F041B" w:rsidRDefault="00CD5519" w:rsidP="009A2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strike/>
              </w:rPr>
            </w:pPr>
          </w:p>
        </w:tc>
        <w:tc>
          <w:tcPr>
            <w:tcW w:w="1276" w:type="dxa"/>
            <w:vAlign w:val="center"/>
          </w:tcPr>
          <w:p w14:paraId="00D9C6A1" w14:textId="4BB90B18" w:rsidR="00CD5519" w:rsidRPr="004F041B" w:rsidRDefault="00FA2D43" w:rsidP="009A2810">
            <w:pPr>
              <w:spacing w:line="24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  <w:r w:rsidRPr="004F041B">
              <w:rPr>
                <w:rFonts w:ascii="Barlow" w:hAnsi="Barlow" w:cs="Times New Roman"/>
              </w:rPr>
              <w:t>5</w:t>
            </w:r>
            <w:r w:rsidR="00CD5519" w:rsidRPr="004F041B">
              <w:rPr>
                <w:rFonts w:ascii="Barlow" w:hAnsi="Barlow" w:cs="Times New Roman"/>
              </w:rPr>
              <w:t>%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ascii="Barlow" w:hAnsi="Barlow" w:cs="Times New Roman"/>
                <w:color w:val="2F5496" w:themeColor="accent1" w:themeShade="BF"/>
                <w:shd w:val="clear" w:color="auto" w:fill="E6E6E6"/>
              </w:rPr>
              <w:id w:val="-1551762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A5B753" w14:textId="77777777" w:rsidR="00CD5519" w:rsidRPr="004F041B" w:rsidRDefault="00CD5519" w:rsidP="009A281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rlow" w:hAnsi="Barlow" w:cs="Times New Roman"/>
                    <w:color w:val="2F5496" w:themeColor="accent1" w:themeShade="BF"/>
                  </w:rPr>
                </w:pPr>
                <w:r w:rsidRPr="004F041B">
                  <w:rPr>
                    <w:rFonts w:ascii="Segoe UI Symbol" w:eastAsia="MS Gothic" w:hAnsi="Segoe UI Symbol" w:cs="Segoe UI Symbol"/>
                    <w:color w:val="2F5496" w:themeColor="accent1" w:themeShade="BF"/>
                  </w:rPr>
                  <w:t>☐</w:t>
                </w:r>
              </w:p>
            </w:sdtContent>
          </w:sdt>
        </w:tc>
      </w:tr>
      <w:tr w:rsidR="00CD5519" w:rsidRPr="004F041B" w14:paraId="0A8D60B5" w14:textId="77777777" w:rsidTr="000B1EB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vAlign w:val="center"/>
          </w:tcPr>
          <w:p w14:paraId="79516078" w14:textId="3092D73B" w:rsidR="00CD5519" w:rsidRPr="004F041B" w:rsidRDefault="00CD5519" w:rsidP="009A2810">
            <w:pPr>
              <w:spacing w:line="245" w:lineRule="auto"/>
              <w:rPr>
                <w:rFonts w:ascii="Barlow" w:hAnsi="Barlow" w:cs="Times New Roman"/>
              </w:rPr>
            </w:pPr>
            <w:r w:rsidRPr="004F041B">
              <w:rPr>
                <w:rFonts w:ascii="Barlow" w:hAnsi="Barlow" w:cs="Times New Roman"/>
                <w:b w:val="0"/>
              </w:rPr>
              <w:t xml:space="preserve">Regolamenti uniformi riscossione entrate non tributarie </w:t>
            </w:r>
          </w:p>
        </w:tc>
        <w:tc>
          <w:tcPr>
            <w:tcW w:w="3827" w:type="dxa"/>
            <w:vAlign w:val="center"/>
          </w:tcPr>
          <w:p w14:paraId="41EEE2EA" w14:textId="77777777" w:rsidR="00CD5519" w:rsidRPr="004F041B" w:rsidRDefault="00CD5519" w:rsidP="009A2810">
            <w:pPr>
              <w:spacing w:line="24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  <w:r w:rsidRPr="004F041B">
              <w:rPr>
                <w:rFonts w:ascii="Barlow" w:hAnsi="Barlow" w:cs="Times New Roman"/>
              </w:rPr>
              <w:t>Copia regolamento e atti di approvazione</w:t>
            </w:r>
          </w:p>
        </w:tc>
        <w:tc>
          <w:tcPr>
            <w:tcW w:w="2835" w:type="dxa"/>
            <w:vAlign w:val="center"/>
          </w:tcPr>
          <w:p w14:paraId="048406A6" w14:textId="77777777" w:rsidR="00CD5519" w:rsidRPr="004F041B" w:rsidRDefault="00CD5519" w:rsidP="009A2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</w:p>
        </w:tc>
        <w:tc>
          <w:tcPr>
            <w:tcW w:w="1276" w:type="dxa"/>
            <w:vAlign w:val="center"/>
          </w:tcPr>
          <w:p w14:paraId="57FFC766" w14:textId="42C79857" w:rsidR="00CD5519" w:rsidRPr="004F041B" w:rsidRDefault="00FA2D43" w:rsidP="009A2810">
            <w:pPr>
              <w:spacing w:line="24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  <w:r w:rsidRPr="004F041B">
              <w:rPr>
                <w:rFonts w:ascii="Barlow" w:hAnsi="Barlow" w:cs="Times New Roman"/>
              </w:rPr>
              <w:t>5</w:t>
            </w:r>
            <w:r w:rsidR="00CD5519" w:rsidRPr="004F041B">
              <w:rPr>
                <w:rFonts w:ascii="Barlow" w:hAnsi="Barlow" w:cs="Times New Roman"/>
              </w:rPr>
              <w:t>%</w:t>
            </w:r>
          </w:p>
        </w:tc>
        <w:tc>
          <w:tcPr>
            <w:tcW w:w="425" w:type="dxa"/>
            <w:vAlign w:val="center"/>
          </w:tcPr>
          <w:p w14:paraId="0A917DA2" w14:textId="77777777" w:rsidR="00CD5519" w:rsidRPr="004F041B" w:rsidRDefault="00000000" w:rsidP="009A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color w:val="2F5496" w:themeColor="accent1" w:themeShade="BF"/>
              </w:rPr>
            </w:pPr>
            <w:sdt>
              <w:sdtPr>
                <w:rPr>
                  <w:rFonts w:ascii="Barlow" w:hAnsi="Barlow" w:cs="Times New Roman"/>
                  <w:color w:val="2F5496" w:themeColor="accent1" w:themeShade="BF"/>
                  <w:shd w:val="clear" w:color="auto" w:fill="E6E6E6"/>
                </w:rPr>
                <w:id w:val="-2309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5519" w:rsidRPr="004F041B">
                  <w:rPr>
                    <w:rFonts w:ascii="Segoe UI Symbol" w:eastAsia="MS Gothic" w:hAnsi="Segoe UI Symbol" w:cs="Segoe UI Symbol"/>
                    <w:color w:val="2F5496" w:themeColor="accent1" w:themeShade="BF"/>
                  </w:rPr>
                  <w:t>☐</w:t>
                </w:r>
              </w:sdtContent>
            </w:sdt>
          </w:p>
        </w:tc>
      </w:tr>
      <w:tr w:rsidR="00CD5519" w:rsidRPr="004F041B" w14:paraId="6D128BB3" w14:textId="77777777" w:rsidTr="000B1EBC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</w:tcPr>
          <w:p w14:paraId="42B37E49" w14:textId="77777777" w:rsidR="00CD5519" w:rsidRPr="004F041B" w:rsidRDefault="00CD5519" w:rsidP="009A2810">
            <w:pPr>
              <w:ind w:left="426"/>
              <w:rPr>
                <w:rFonts w:ascii="Barlow" w:hAnsi="Barlow" w:cs="Times New Roman"/>
              </w:rPr>
            </w:pPr>
          </w:p>
        </w:tc>
        <w:tc>
          <w:tcPr>
            <w:tcW w:w="6662" w:type="dxa"/>
            <w:gridSpan w:val="2"/>
          </w:tcPr>
          <w:p w14:paraId="7B00A184" w14:textId="77777777" w:rsidR="00CD5519" w:rsidRPr="004F041B" w:rsidRDefault="00CD5519" w:rsidP="009A2810">
            <w:pPr>
              <w:ind w:left="5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</w:p>
        </w:tc>
        <w:tc>
          <w:tcPr>
            <w:tcW w:w="1276" w:type="dxa"/>
            <w:vAlign w:val="center"/>
          </w:tcPr>
          <w:p w14:paraId="62412D7A" w14:textId="0F887150" w:rsidR="00CD5519" w:rsidRPr="004F041B" w:rsidRDefault="00813D0B" w:rsidP="009A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Totale</w:t>
            </w:r>
            <w:r>
              <w:rPr>
                <w:rFonts w:ascii="Barlow" w:eastAsia="Times New Roman" w:hAnsi="Barlow" w:cs="Segoe UI"/>
                <w:lang w:eastAsia="it-IT"/>
              </w:rPr>
              <w:t xml:space="preserve"> </w:t>
            </w:r>
            <w:r w:rsidRPr="0092626C">
              <w:rPr>
                <w:rFonts w:ascii="Barlow" w:eastAsia="Times New Roman" w:hAnsi="Barlow" w:cs="Segoe UI"/>
                <w:lang w:eastAsia="it-IT"/>
              </w:rPr>
              <w:t>100% punteggio</w:t>
            </w:r>
          </w:p>
        </w:tc>
        <w:tc>
          <w:tcPr>
            <w:tcW w:w="425" w:type="dxa"/>
            <w:vAlign w:val="center"/>
          </w:tcPr>
          <w:p w14:paraId="797A8A24" w14:textId="77777777" w:rsidR="00CD5519" w:rsidRPr="004F041B" w:rsidRDefault="00CD5519" w:rsidP="009A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</w:p>
        </w:tc>
      </w:tr>
    </w:tbl>
    <w:p w14:paraId="4DCDED1D" w14:textId="5C42DB7D" w:rsidR="00D54676" w:rsidRPr="004F041B" w:rsidRDefault="00D54676">
      <w:pPr>
        <w:rPr>
          <w:rFonts w:ascii="Barlow" w:hAnsi="Barlow"/>
        </w:rPr>
      </w:pPr>
    </w:p>
    <w:p w14:paraId="5BD76425" w14:textId="1F4A459D" w:rsidR="00D54676" w:rsidRPr="004F041B" w:rsidRDefault="00D54676">
      <w:pPr>
        <w:rPr>
          <w:rFonts w:ascii="Barlow" w:hAnsi="Barlow"/>
        </w:rPr>
      </w:pPr>
    </w:p>
    <w:sectPr w:rsidR="00D54676" w:rsidRPr="004F041B" w:rsidSect="0088098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FAC04F" w14:textId="77777777" w:rsidR="00A9365F" w:rsidRDefault="00A9365F" w:rsidP="00CD5519">
      <w:pPr>
        <w:spacing w:after="0" w:line="240" w:lineRule="auto"/>
      </w:pPr>
      <w:r>
        <w:separator/>
      </w:r>
    </w:p>
  </w:endnote>
  <w:endnote w:type="continuationSeparator" w:id="0">
    <w:p w14:paraId="2ADA5B51" w14:textId="77777777" w:rsidR="00A9365F" w:rsidRDefault="00A9365F" w:rsidP="00CD5519">
      <w:pPr>
        <w:spacing w:after="0" w:line="240" w:lineRule="auto"/>
      </w:pPr>
      <w:r>
        <w:continuationSeparator/>
      </w:r>
    </w:p>
  </w:endnote>
  <w:endnote w:type="continuationNotice" w:id="1">
    <w:p w14:paraId="65C15C3F" w14:textId="77777777" w:rsidR="00A9365F" w:rsidRDefault="00A936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SemiBold">
    <w:altName w:val="Calibri"/>
    <w:charset w:val="00"/>
    <w:family w:val="auto"/>
    <w:pitch w:val="variable"/>
    <w:sig w:usb0="20000007" w:usb1="00000000" w:usb2="00000000" w:usb3="00000000" w:csb0="00000193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AB1A3" w14:textId="77777777" w:rsidR="00A9365F" w:rsidRDefault="00A9365F" w:rsidP="00CD5519">
      <w:pPr>
        <w:spacing w:after="0" w:line="240" w:lineRule="auto"/>
      </w:pPr>
      <w:r>
        <w:separator/>
      </w:r>
    </w:p>
  </w:footnote>
  <w:footnote w:type="continuationSeparator" w:id="0">
    <w:p w14:paraId="44D2BA15" w14:textId="77777777" w:rsidR="00A9365F" w:rsidRDefault="00A9365F" w:rsidP="00CD5519">
      <w:pPr>
        <w:spacing w:after="0" w:line="240" w:lineRule="auto"/>
      </w:pPr>
      <w:r>
        <w:continuationSeparator/>
      </w:r>
    </w:p>
  </w:footnote>
  <w:footnote w:type="continuationNotice" w:id="1">
    <w:p w14:paraId="32691BF3" w14:textId="77777777" w:rsidR="00A9365F" w:rsidRDefault="00A9365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697E10"/>
    <w:multiLevelType w:val="hybridMultilevel"/>
    <w:tmpl w:val="ABB275EC"/>
    <w:lvl w:ilvl="0" w:tplc="66CCFE76">
      <w:numFmt w:val="bullet"/>
      <w:lvlText w:val="-"/>
      <w:lvlJc w:val="left"/>
      <w:pPr>
        <w:ind w:left="502" w:hanging="360"/>
      </w:pPr>
      <w:rPr>
        <w:rFonts w:ascii="Tw Cen MT" w:eastAsia="Calibri" w:hAnsi="Tw Cen MT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C3F65"/>
    <w:multiLevelType w:val="hybridMultilevel"/>
    <w:tmpl w:val="5CF22A54"/>
    <w:lvl w:ilvl="0" w:tplc="2392F7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963976">
      <w:start w:val="1"/>
      <w:numFmt w:val="lowerLetter"/>
      <w:lvlText w:val="%2."/>
      <w:lvlJc w:val="left"/>
      <w:pPr>
        <w:ind w:left="1440" w:hanging="360"/>
      </w:pPr>
    </w:lvl>
    <w:lvl w:ilvl="2" w:tplc="ED58FC06">
      <w:start w:val="1"/>
      <w:numFmt w:val="lowerRoman"/>
      <w:lvlText w:val="%3."/>
      <w:lvlJc w:val="right"/>
      <w:pPr>
        <w:ind w:left="2160" w:hanging="180"/>
      </w:pPr>
    </w:lvl>
    <w:lvl w:ilvl="3" w:tplc="3694428A">
      <w:start w:val="1"/>
      <w:numFmt w:val="decimal"/>
      <w:lvlText w:val="%4."/>
      <w:lvlJc w:val="left"/>
      <w:pPr>
        <w:ind w:left="2880" w:hanging="360"/>
      </w:pPr>
    </w:lvl>
    <w:lvl w:ilvl="4" w:tplc="FB5A3B72">
      <w:start w:val="1"/>
      <w:numFmt w:val="lowerLetter"/>
      <w:lvlText w:val="%5."/>
      <w:lvlJc w:val="left"/>
      <w:pPr>
        <w:ind w:left="3600" w:hanging="360"/>
      </w:pPr>
    </w:lvl>
    <w:lvl w:ilvl="5" w:tplc="DC00AD3A">
      <w:start w:val="1"/>
      <w:numFmt w:val="lowerRoman"/>
      <w:lvlText w:val="%6."/>
      <w:lvlJc w:val="right"/>
      <w:pPr>
        <w:ind w:left="4320" w:hanging="180"/>
      </w:pPr>
    </w:lvl>
    <w:lvl w:ilvl="6" w:tplc="15E0B7E4">
      <w:start w:val="1"/>
      <w:numFmt w:val="decimal"/>
      <w:lvlText w:val="%7."/>
      <w:lvlJc w:val="left"/>
      <w:pPr>
        <w:ind w:left="5040" w:hanging="360"/>
      </w:pPr>
    </w:lvl>
    <w:lvl w:ilvl="7" w:tplc="5B1A5B3C">
      <w:start w:val="1"/>
      <w:numFmt w:val="lowerLetter"/>
      <w:lvlText w:val="%8."/>
      <w:lvlJc w:val="left"/>
      <w:pPr>
        <w:ind w:left="5760" w:hanging="360"/>
      </w:pPr>
    </w:lvl>
    <w:lvl w:ilvl="8" w:tplc="6A78E8FE">
      <w:start w:val="1"/>
      <w:numFmt w:val="lowerRoman"/>
      <w:lvlText w:val="%9."/>
      <w:lvlJc w:val="right"/>
      <w:pPr>
        <w:ind w:left="6480" w:hanging="180"/>
      </w:pPr>
    </w:lvl>
  </w:abstractNum>
  <w:num w:numId="1" w16cid:durableId="938877142">
    <w:abstractNumId w:val="0"/>
  </w:num>
  <w:num w:numId="2" w16cid:durableId="2053262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1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F2"/>
    <w:rsid w:val="000273EA"/>
    <w:rsid w:val="00066977"/>
    <w:rsid w:val="00097166"/>
    <w:rsid w:val="000B0E7B"/>
    <w:rsid w:val="000B1EBC"/>
    <w:rsid w:val="00106905"/>
    <w:rsid w:val="00123AC2"/>
    <w:rsid w:val="00175E28"/>
    <w:rsid w:val="001C1005"/>
    <w:rsid w:val="00223DC9"/>
    <w:rsid w:val="002578F1"/>
    <w:rsid w:val="002B1C4F"/>
    <w:rsid w:val="002F1405"/>
    <w:rsid w:val="003101AF"/>
    <w:rsid w:val="00347C31"/>
    <w:rsid w:val="00354254"/>
    <w:rsid w:val="00371C6D"/>
    <w:rsid w:val="003803C6"/>
    <w:rsid w:val="003E1A66"/>
    <w:rsid w:val="003F2079"/>
    <w:rsid w:val="004419C6"/>
    <w:rsid w:val="00455A9E"/>
    <w:rsid w:val="004631E2"/>
    <w:rsid w:val="004968DB"/>
    <w:rsid w:val="004B0D95"/>
    <w:rsid w:val="004C5180"/>
    <w:rsid w:val="004E1091"/>
    <w:rsid w:val="004E4308"/>
    <w:rsid w:val="004F041B"/>
    <w:rsid w:val="004F5F48"/>
    <w:rsid w:val="00514AB3"/>
    <w:rsid w:val="00535DDA"/>
    <w:rsid w:val="005F2AE7"/>
    <w:rsid w:val="00602210"/>
    <w:rsid w:val="00605ADA"/>
    <w:rsid w:val="00610E58"/>
    <w:rsid w:val="00633D59"/>
    <w:rsid w:val="006442E6"/>
    <w:rsid w:val="006464CE"/>
    <w:rsid w:val="006473C9"/>
    <w:rsid w:val="00665DFE"/>
    <w:rsid w:val="0068479A"/>
    <w:rsid w:val="00694556"/>
    <w:rsid w:val="006B29E1"/>
    <w:rsid w:val="006F0320"/>
    <w:rsid w:val="0071624C"/>
    <w:rsid w:val="00730F68"/>
    <w:rsid w:val="00745DB4"/>
    <w:rsid w:val="00762EA4"/>
    <w:rsid w:val="00780845"/>
    <w:rsid w:val="007837AE"/>
    <w:rsid w:val="00786537"/>
    <w:rsid w:val="0079147E"/>
    <w:rsid w:val="007A0D5C"/>
    <w:rsid w:val="007C4D92"/>
    <w:rsid w:val="007D2601"/>
    <w:rsid w:val="007F44E2"/>
    <w:rsid w:val="0081079C"/>
    <w:rsid w:val="00813D0B"/>
    <w:rsid w:val="00824D9C"/>
    <w:rsid w:val="00841698"/>
    <w:rsid w:val="00880987"/>
    <w:rsid w:val="00891CC7"/>
    <w:rsid w:val="008A0486"/>
    <w:rsid w:val="008A1ADC"/>
    <w:rsid w:val="008D5333"/>
    <w:rsid w:val="008D64CE"/>
    <w:rsid w:val="00910C19"/>
    <w:rsid w:val="009228A2"/>
    <w:rsid w:val="00940D45"/>
    <w:rsid w:val="00977B69"/>
    <w:rsid w:val="009A2810"/>
    <w:rsid w:val="009A50D1"/>
    <w:rsid w:val="009C609F"/>
    <w:rsid w:val="009D5E26"/>
    <w:rsid w:val="009E3719"/>
    <w:rsid w:val="009F50E2"/>
    <w:rsid w:val="00A25672"/>
    <w:rsid w:val="00A423B7"/>
    <w:rsid w:val="00A54DCA"/>
    <w:rsid w:val="00A81623"/>
    <w:rsid w:val="00A9365F"/>
    <w:rsid w:val="00B20477"/>
    <w:rsid w:val="00B360BE"/>
    <w:rsid w:val="00B51095"/>
    <w:rsid w:val="00B52AAB"/>
    <w:rsid w:val="00B60A83"/>
    <w:rsid w:val="00BA5164"/>
    <w:rsid w:val="00BC12A2"/>
    <w:rsid w:val="00BC6BE7"/>
    <w:rsid w:val="00BF0C16"/>
    <w:rsid w:val="00C00741"/>
    <w:rsid w:val="00C00BF2"/>
    <w:rsid w:val="00C07B32"/>
    <w:rsid w:val="00C26916"/>
    <w:rsid w:val="00C53687"/>
    <w:rsid w:val="00C71505"/>
    <w:rsid w:val="00C73D51"/>
    <w:rsid w:val="00C85F9B"/>
    <w:rsid w:val="00CA4239"/>
    <w:rsid w:val="00CC6529"/>
    <w:rsid w:val="00CC7916"/>
    <w:rsid w:val="00CD5519"/>
    <w:rsid w:val="00D54676"/>
    <w:rsid w:val="00DE23BC"/>
    <w:rsid w:val="00DF7937"/>
    <w:rsid w:val="00E255E1"/>
    <w:rsid w:val="00E53D85"/>
    <w:rsid w:val="00E6085C"/>
    <w:rsid w:val="00E94C86"/>
    <w:rsid w:val="00EB2448"/>
    <w:rsid w:val="00ED30B0"/>
    <w:rsid w:val="00EE41B4"/>
    <w:rsid w:val="00F14AE8"/>
    <w:rsid w:val="00F47F19"/>
    <w:rsid w:val="00F66C42"/>
    <w:rsid w:val="00F67C07"/>
    <w:rsid w:val="00FA0660"/>
    <w:rsid w:val="00FA13C4"/>
    <w:rsid w:val="00FA2D43"/>
    <w:rsid w:val="00FB65DE"/>
    <w:rsid w:val="00FE0234"/>
    <w:rsid w:val="0DF0B339"/>
    <w:rsid w:val="41E8DB49"/>
    <w:rsid w:val="4CC0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AC5A"/>
  <w15:chartTrackingRefBased/>
  <w15:docId w15:val="{1012F3A3-D0CC-481D-80A3-45CC8FB7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5519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5519"/>
    <w:pPr>
      <w:ind w:left="720"/>
      <w:contextualSpacing/>
    </w:pPr>
    <w:rPr>
      <w:rFonts w:ascii="Barlow SemiBold" w:hAnsi="Barlow SemiBold"/>
      <w:sz w:val="28"/>
    </w:rPr>
  </w:style>
  <w:style w:type="table" w:styleId="Grigliatabella">
    <w:name w:val="Table Grid"/>
    <w:basedOn w:val="Tabellanormale"/>
    <w:uiPriority w:val="39"/>
    <w:rsid w:val="00CD551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CD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D551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D5519"/>
    <w:rPr>
      <w:kern w:val="0"/>
      <w:sz w:val="20"/>
      <w:szCs w:val="20"/>
      <w14:ligatures w14:val="none"/>
    </w:rPr>
  </w:style>
  <w:style w:type="character" w:styleId="Rimandonotaapidipagina">
    <w:name w:val="footnote reference"/>
    <w:basedOn w:val="Carpredefinitoparagrafo"/>
    <w:uiPriority w:val="99"/>
    <w:unhideWhenUsed/>
    <w:rsid w:val="00CD551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D5519"/>
    <w:rPr>
      <w:color w:val="0563C1" w:themeColor="hyperlink"/>
      <w:u w:val="single"/>
    </w:rPr>
  </w:style>
  <w:style w:type="table" w:styleId="Tabellagriglia1chiara-colore6">
    <w:name w:val="Grid Table 1 Light Accent 6"/>
    <w:basedOn w:val="Tabellanormale"/>
    <w:uiPriority w:val="46"/>
    <w:rsid w:val="00CD551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stazione">
    <w:name w:val="header"/>
    <w:basedOn w:val="Normale"/>
    <w:link w:val="IntestazioneCarattere"/>
    <w:uiPriority w:val="99"/>
    <w:semiHidden/>
    <w:unhideWhenUsed/>
    <w:rsid w:val="0064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464CE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4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464CE"/>
    <w:rPr>
      <w:kern w:val="0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A8162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8162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81623"/>
    <w:rPr>
      <w:kern w:val="0"/>
      <w:sz w:val="20"/>
      <w:szCs w:val="20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162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1623"/>
    <w:rPr>
      <w:b/>
      <w:bCs/>
      <w:kern w:val="0"/>
      <w:sz w:val="20"/>
      <w:szCs w:val="20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533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D53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autonomie.regione.emilia-romagna.it/unioni-di-comuni/programma-di-riordino-territoriale/prt-2024-202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30781EEE82C24E886CD249FD9F4EDA" ma:contentTypeVersion="14" ma:contentTypeDescription="Creare un nuovo documento." ma:contentTypeScope="" ma:versionID="bd7492e0d8d31c63a01207eddd1e40d0">
  <xsd:schema xmlns:xsd="http://www.w3.org/2001/XMLSchema" xmlns:xs="http://www.w3.org/2001/XMLSchema" xmlns:p="http://schemas.microsoft.com/office/2006/metadata/properties" xmlns:ns2="815a182e-5811-482c-bfd9-ac006fc98d86" xmlns:ns3="0019704a-108b-4170-a031-f324bd9667da" targetNamespace="http://schemas.microsoft.com/office/2006/metadata/properties" ma:root="true" ma:fieldsID="da6d3cfd141a4a49046fce1d7640ed76" ns2:_="" ns3:_="">
    <xsd:import namespace="815a182e-5811-482c-bfd9-ac006fc98d86"/>
    <xsd:import namespace="0019704a-108b-4170-a031-f324bd9667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a182e-5811-482c-bfd9-ac006fc98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9704a-108b-4170-a031-f324bd9667d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eb14083-6049-4e6f-8a55-12ea2a6fefa0}" ma:internalName="TaxCatchAll" ma:showField="CatchAllData" ma:web="0019704a-108b-4170-a031-f324bd9667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5a182e-5811-482c-bfd9-ac006fc98d86">
      <Terms xmlns="http://schemas.microsoft.com/office/infopath/2007/PartnerControls"/>
    </lcf76f155ced4ddcb4097134ff3c332f>
    <TaxCatchAll xmlns="0019704a-108b-4170-a031-f324bd9667da"/>
  </documentManagement>
</p:properties>
</file>

<file path=customXml/itemProps1.xml><?xml version="1.0" encoding="utf-8"?>
<ds:datastoreItem xmlns:ds="http://schemas.openxmlformats.org/officeDocument/2006/customXml" ds:itemID="{59F02784-1061-4F06-825A-DBB064045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a182e-5811-482c-bfd9-ac006fc98d86"/>
    <ds:schemaRef ds:uri="0019704a-108b-4170-a031-f324bd966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1C3CF5-D823-41D0-A08A-782C9354A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4E1D62-0048-42B2-BD89-D03BF86E0015}">
  <ds:schemaRefs>
    <ds:schemaRef ds:uri="http://schemas.microsoft.com/office/2006/metadata/properties"/>
    <ds:schemaRef ds:uri="http://schemas.microsoft.com/office/infopath/2007/PartnerControls"/>
    <ds:schemaRef ds:uri="815a182e-5811-482c-bfd9-ac006fc98d86"/>
    <ds:schemaRef ds:uri="0019704a-108b-4170-a031-f324bd9667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3960</CharactersWithSpaces>
  <SharedDoc>false</SharedDoc>
  <HLinks>
    <vt:vector size="6" baseType="variant">
      <vt:variant>
        <vt:i4>2949229</vt:i4>
      </vt:variant>
      <vt:variant>
        <vt:i4>0</vt:i4>
      </vt:variant>
      <vt:variant>
        <vt:i4>0</vt:i4>
      </vt:variant>
      <vt:variant>
        <vt:i4>5</vt:i4>
      </vt:variant>
      <vt:variant>
        <vt:lpwstr>https://autonomie.regione.emilia-romagna.it/unioni-di-comuni/approfondimenti/programma-di-riordino-territoriale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Giorgi Irene</dc:creator>
  <cp:keywords/>
  <dc:description/>
  <cp:lastModifiedBy>De Giorgi Irene</cp:lastModifiedBy>
  <cp:revision>20</cp:revision>
  <dcterms:created xsi:type="dcterms:W3CDTF">2024-04-18T05:27:00Z</dcterms:created>
  <dcterms:modified xsi:type="dcterms:W3CDTF">2024-06-14T09:51:00Z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0x0101003830781EEE82C24E886CD249FD9F4EDA</vt:lpwstr>
  </property>
  <property fmtid="{D5CDD505-2E9C-101B-9397-08002B2CF9AE}" pid="3" name="MediaServiceImageTags">
    <vt:lpwstr/>
  </property>
</Properties>
</file>